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EF539" w14:textId="77777777" w:rsidR="006B5F4F" w:rsidRDefault="006B5F4F" w:rsidP="00D96443">
      <w:pPr>
        <w:jc w:val="center"/>
        <w:rPr>
          <w:rFonts w:asciiTheme="majorBidi" w:hAnsiTheme="majorBidi" w:cstheme="majorBidi"/>
          <w:b/>
          <w:bCs/>
          <w:sz w:val="28"/>
          <w:szCs w:val="28"/>
          <w:u w:val="single"/>
        </w:rPr>
      </w:pPr>
    </w:p>
    <w:p w14:paraId="5C33C020" w14:textId="27A70B73" w:rsidR="00C92D65" w:rsidRPr="00D96443" w:rsidRDefault="00C92D65" w:rsidP="00D96443">
      <w:pPr>
        <w:jc w:val="center"/>
        <w:rPr>
          <w:rFonts w:asciiTheme="majorBidi" w:hAnsiTheme="majorBidi" w:cstheme="majorBidi"/>
          <w:b/>
          <w:bCs/>
          <w:sz w:val="28"/>
          <w:szCs w:val="28"/>
          <w:u w:val="single"/>
        </w:rPr>
      </w:pPr>
      <w:r w:rsidRPr="00D96443">
        <w:rPr>
          <w:rFonts w:asciiTheme="majorBidi" w:hAnsiTheme="majorBidi" w:cstheme="majorBidi"/>
          <w:b/>
          <w:bCs/>
          <w:sz w:val="28"/>
          <w:szCs w:val="28"/>
          <w:u w:val="single"/>
        </w:rPr>
        <w:t xml:space="preserve">Third Amendment to </w:t>
      </w:r>
      <w:proofErr w:type="gramStart"/>
      <w:r w:rsidR="00B777D8">
        <w:rPr>
          <w:rFonts w:asciiTheme="majorBidi" w:hAnsiTheme="majorBidi" w:cstheme="majorBidi"/>
          <w:b/>
          <w:bCs/>
          <w:sz w:val="28"/>
          <w:szCs w:val="28"/>
          <w:u w:val="single"/>
        </w:rPr>
        <w:t xml:space="preserve">the </w:t>
      </w:r>
      <w:r w:rsidR="00B777D8" w:rsidRPr="00D96443">
        <w:rPr>
          <w:rFonts w:asciiTheme="majorBidi" w:hAnsiTheme="majorBidi" w:cstheme="majorBidi"/>
          <w:b/>
          <w:bCs/>
          <w:sz w:val="28"/>
          <w:szCs w:val="28"/>
          <w:u w:val="single"/>
        </w:rPr>
        <w:t>Regulation</w:t>
      </w:r>
      <w:proofErr w:type="gramEnd"/>
      <w:r w:rsidR="00D96443" w:rsidRPr="00D96443">
        <w:rPr>
          <w:rFonts w:asciiTheme="majorBidi" w:hAnsiTheme="majorBidi" w:cs="MV Boli"/>
          <w:b/>
          <w:bCs/>
          <w:sz w:val="28"/>
          <w:szCs w:val="28"/>
          <w:u w:val="single"/>
          <w:lang w:bidi="dv-MV"/>
        </w:rPr>
        <w:t xml:space="preserve"> No: </w:t>
      </w:r>
      <w:r w:rsidR="00D96443" w:rsidRPr="00D96443">
        <w:rPr>
          <w:rFonts w:asciiTheme="majorBidi" w:hAnsiTheme="majorBidi" w:cstheme="majorBidi"/>
          <w:b/>
          <w:bCs/>
          <w:sz w:val="28"/>
          <w:szCs w:val="28"/>
          <w:u w:val="single"/>
        </w:rPr>
        <w:t>2019/R-1050</w:t>
      </w:r>
      <w:r w:rsidRPr="00D96443">
        <w:rPr>
          <w:rFonts w:asciiTheme="majorBidi" w:hAnsiTheme="majorBidi" w:cstheme="majorBidi"/>
          <w:b/>
          <w:bCs/>
          <w:sz w:val="28"/>
          <w:szCs w:val="28"/>
          <w:u w:val="single"/>
        </w:rPr>
        <w:t xml:space="preserve"> </w:t>
      </w:r>
      <w:r w:rsidR="00D96443">
        <w:rPr>
          <w:rFonts w:asciiTheme="majorBidi" w:hAnsiTheme="majorBidi" w:cstheme="majorBidi"/>
          <w:b/>
          <w:bCs/>
          <w:sz w:val="28"/>
          <w:szCs w:val="28"/>
          <w:u w:val="single"/>
        </w:rPr>
        <w:t>(</w:t>
      </w:r>
      <w:r w:rsidRPr="00D96443">
        <w:rPr>
          <w:rFonts w:asciiTheme="majorBidi" w:hAnsiTheme="majorBidi" w:cstheme="majorBidi"/>
          <w:b/>
          <w:bCs/>
          <w:sz w:val="28"/>
          <w:szCs w:val="28"/>
          <w:u w:val="single"/>
        </w:rPr>
        <w:t>Regulation on Continuing Disclosure and Obligations of Issuers (CDOI)</w:t>
      </w:r>
      <w:r w:rsidR="00D96443">
        <w:rPr>
          <w:rFonts w:asciiTheme="majorBidi" w:hAnsiTheme="majorBidi" w:cstheme="majorBidi"/>
          <w:b/>
          <w:bCs/>
          <w:sz w:val="28"/>
          <w:szCs w:val="28"/>
          <w:u w:val="single"/>
        </w:rPr>
        <w:t>)</w:t>
      </w:r>
    </w:p>
    <w:p w14:paraId="7D736609" w14:textId="77777777" w:rsidR="00E40059" w:rsidRPr="00E40059" w:rsidRDefault="00E40059" w:rsidP="00E40059">
      <w:pPr>
        <w:jc w:val="center"/>
        <w:rPr>
          <w:rFonts w:asciiTheme="majorBidi" w:hAnsiTheme="majorBidi" w:cstheme="majorBidi"/>
          <w:sz w:val="28"/>
          <w:szCs w:val="28"/>
        </w:rPr>
      </w:pPr>
    </w:p>
    <w:p w14:paraId="613530F4" w14:textId="50A3E378" w:rsidR="006760E8" w:rsidRPr="007B4C03" w:rsidRDefault="0032219F" w:rsidP="006760E8">
      <w:pPr>
        <w:spacing w:line="360" w:lineRule="auto"/>
        <w:rPr>
          <w:rFonts w:asciiTheme="majorBidi" w:hAnsiTheme="majorBidi" w:cstheme="majorBidi"/>
        </w:rPr>
      </w:pPr>
      <w:r w:rsidRPr="007B4C03">
        <w:rPr>
          <w:rFonts w:asciiTheme="majorBidi" w:hAnsiTheme="majorBidi" w:cstheme="majorBidi"/>
        </w:rPr>
        <w:t>The following amendments are to be brought to the Regulation on Continuing Disclosure and Obligations of Issuers (Regulation Number: 2019/R-1050).</w:t>
      </w:r>
    </w:p>
    <w:p w14:paraId="118A9AF8" w14:textId="77777777" w:rsidR="00E56C47" w:rsidRPr="0032219F" w:rsidRDefault="00E56C47" w:rsidP="006760E8">
      <w:pPr>
        <w:spacing w:line="360" w:lineRule="auto"/>
        <w:rPr>
          <w:rFonts w:asciiTheme="majorBidi" w:hAnsiTheme="majorBidi" w:cstheme="majorBidi"/>
          <w:sz w:val="22"/>
          <w:szCs w:val="22"/>
        </w:rPr>
      </w:pPr>
    </w:p>
    <w:tbl>
      <w:tblPr>
        <w:tblStyle w:val="TableGrid"/>
        <w:tblW w:w="9350" w:type="dxa"/>
        <w:tblLayout w:type="fixed"/>
        <w:tblLook w:val="04A0" w:firstRow="1" w:lastRow="0" w:firstColumn="1" w:lastColumn="0" w:noHBand="0" w:noVBand="1"/>
      </w:tblPr>
      <w:tblGrid>
        <w:gridCol w:w="535"/>
        <w:gridCol w:w="2070"/>
        <w:gridCol w:w="720"/>
        <w:gridCol w:w="540"/>
        <w:gridCol w:w="540"/>
        <w:gridCol w:w="4945"/>
      </w:tblGrid>
      <w:tr w:rsidR="00E56C47" w:rsidRPr="00E56C47" w14:paraId="3164E9E5" w14:textId="77777777" w:rsidTr="00AA507C">
        <w:tc>
          <w:tcPr>
            <w:tcW w:w="535" w:type="dxa"/>
          </w:tcPr>
          <w:p w14:paraId="39B60A9B" w14:textId="12A9717F" w:rsidR="00E56C47" w:rsidRPr="00E56C47" w:rsidRDefault="00E56C47" w:rsidP="00050DFA">
            <w:pPr>
              <w:spacing w:line="360" w:lineRule="auto"/>
              <w:rPr>
                <w:rFonts w:asciiTheme="majorBidi" w:hAnsiTheme="majorBidi" w:cstheme="majorBidi"/>
              </w:rPr>
            </w:pPr>
            <w:r>
              <w:rPr>
                <w:rFonts w:asciiTheme="majorBidi" w:hAnsiTheme="majorBidi" w:cstheme="majorBidi"/>
              </w:rPr>
              <w:t>1.</w:t>
            </w:r>
          </w:p>
        </w:tc>
        <w:tc>
          <w:tcPr>
            <w:tcW w:w="8815" w:type="dxa"/>
            <w:gridSpan w:val="5"/>
          </w:tcPr>
          <w:p w14:paraId="32F663F1" w14:textId="0079E68A" w:rsidR="00E56C47" w:rsidRPr="00E56C47" w:rsidRDefault="00E56C47" w:rsidP="007B4C03">
            <w:pPr>
              <w:spacing w:line="360" w:lineRule="auto"/>
              <w:jc w:val="both"/>
              <w:rPr>
                <w:rFonts w:asciiTheme="majorBidi" w:hAnsiTheme="majorBidi" w:cstheme="majorBidi"/>
              </w:rPr>
            </w:pPr>
            <w:r>
              <w:rPr>
                <w:rFonts w:asciiTheme="majorBidi" w:hAnsiTheme="majorBidi" w:cstheme="majorBidi"/>
              </w:rPr>
              <w:t xml:space="preserve">The following definition </w:t>
            </w:r>
            <w:r w:rsidR="007B4C03">
              <w:rPr>
                <w:rFonts w:asciiTheme="majorBidi" w:hAnsiTheme="majorBidi" w:cstheme="majorBidi"/>
              </w:rPr>
              <w:t xml:space="preserve">is </w:t>
            </w:r>
            <w:r>
              <w:rPr>
                <w:rFonts w:asciiTheme="majorBidi" w:hAnsiTheme="majorBidi" w:cstheme="majorBidi"/>
              </w:rPr>
              <w:t>to be added to section 4 after subsection (s) of the said regulation.</w:t>
            </w:r>
          </w:p>
        </w:tc>
      </w:tr>
      <w:tr w:rsidR="00E56C47" w:rsidRPr="00E56C47" w14:paraId="5818C68E" w14:textId="77777777" w:rsidTr="00AA507C">
        <w:tc>
          <w:tcPr>
            <w:tcW w:w="535" w:type="dxa"/>
          </w:tcPr>
          <w:p w14:paraId="7DAF1EE3" w14:textId="77777777" w:rsidR="00E56C47" w:rsidRPr="00E56C47" w:rsidRDefault="00E56C47" w:rsidP="0073481E">
            <w:pPr>
              <w:spacing w:line="360" w:lineRule="auto"/>
              <w:rPr>
                <w:rFonts w:asciiTheme="majorBidi" w:hAnsiTheme="majorBidi" w:cstheme="majorBidi"/>
              </w:rPr>
            </w:pPr>
          </w:p>
        </w:tc>
        <w:tc>
          <w:tcPr>
            <w:tcW w:w="2070" w:type="dxa"/>
          </w:tcPr>
          <w:p w14:paraId="79255119" w14:textId="17C1B7A6" w:rsidR="00E56C47" w:rsidRPr="00AA507C" w:rsidRDefault="00E56C47" w:rsidP="0073481E">
            <w:pPr>
              <w:spacing w:line="360" w:lineRule="auto"/>
              <w:rPr>
                <w:rFonts w:asciiTheme="majorBidi" w:hAnsiTheme="majorBidi" w:cstheme="majorBidi"/>
              </w:rPr>
            </w:pPr>
            <w:r w:rsidRPr="00AA507C">
              <w:rPr>
                <w:rFonts w:asciiTheme="majorBidi" w:hAnsiTheme="majorBidi" w:cstheme="majorBidi"/>
              </w:rPr>
              <w:t>Definitions</w:t>
            </w:r>
          </w:p>
        </w:tc>
        <w:tc>
          <w:tcPr>
            <w:tcW w:w="720" w:type="dxa"/>
          </w:tcPr>
          <w:p w14:paraId="27A52CA0" w14:textId="64A4D504" w:rsidR="00E56C47" w:rsidRPr="00E56C47" w:rsidRDefault="00E56C47" w:rsidP="00441563">
            <w:pPr>
              <w:spacing w:line="360" w:lineRule="auto"/>
              <w:jc w:val="center"/>
              <w:rPr>
                <w:rFonts w:asciiTheme="majorBidi" w:hAnsiTheme="majorBidi" w:cstheme="majorBidi"/>
              </w:rPr>
            </w:pPr>
            <w:r w:rsidRPr="00E56C47">
              <w:rPr>
                <w:rFonts w:asciiTheme="majorBidi" w:hAnsiTheme="majorBidi" w:cstheme="majorBidi"/>
              </w:rPr>
              <w:t>4.</w:t>
            </w:r>
          </w:p>
        </w:tc>
        <w:tc>
          <w:tcPr>
            <w:tcW w:w="540" w:type="dxa"/>
          </w:tcPr>
          <w:p w14:paraId="06ADADA7" w14:textId="4E6D88A8" w:rsidR="00E56C47" w:rsidRPr="00E56C47" w:rsidRDefault="00E56C47" w:rsidP="00441563">
            <w:pPr>
              <w:spacing w:line="360" w:lineRule="auto"/>
              <w:ind w:hanging="139"/>
              <w:jc w:val="center"/>
              <w:rPr>
                <w:rFonts w:asciiTheme="majorBidi" w:hAnsiTheme="majorBidi" w:cstheme="majorBidi"/>
              </w:rPr>
            </w:pPr>
            <w:r w:rsidRPr="00E56C47">
              <w:rPr>
                <w:rFonts w:asciiTheme="majorBidi" w:hAnsiTheme="majorBidi" w:cstheme="majorBidi"/>
              </w:rPr>
              <w:t>(t)</w:t>
            </w:r>
          </w:p>
        </w:tc>
        <w:tc>
          <w:tcPr>
            <w:tcW w:w="5485" w:type="dxa"/>
            <w:gridSpan w:val="2"/>
          </w:tcPr>
          <w:p w14:paraId="1925BEE3" w14:textId="5BBFBCFD" w:rsidR="00E56C47" w:rsidRPr="00E56C47" w:rsidRDefault="00E56C47" w:rsidP="009D035C">
            <w:pPr>
              <w:spacing w:line="360" w:lineRule="auto"/>
              <w:jc w:val="both"/>
              <w:rPr>
                <w:rFonts w:asciiTheme="majorBidi" w:hAnsiTheme="majorBidi" w:cstheme="majorBidi"/>
              </w:rPr>
            </w:pPr>
            <w:r w:rsidRPr="00E56C47">
              <w:rPr>
                <w:rFonts w:asciiTheme="majorBidi" w:hAnsiTheme="majorBidi" w:cstheme="majorBidi"/>
              </w:rPr>
              <w:t>“Periodic Reports” shall mean quarterly reports</w:t>
            </w:r>
            <w:r w:rsidR="00B777D8">
              <w:rPr>
                <w:rFonts w:asciiTheme="majorBidi" w:hAnsiTheme="majorBidi" w:cstheme="majorBidi"/>
              </w:rPr>
              <w:t>,</w:t>
            </w:r>
            <w:r w:rsidRPr="00E56C47">
              <w:rPr>
                <w:rFonts w:asciiTheme="majorBidi" w:hAnsiTheme="majorBidi" w:cstheme="majorBidi"/>
              </w:rPr>
              <w:t xml:space="preserve"> published at the end of each financial quarter (every </w:t>
            </w:r>
            <w:r w:rsidRPr="00E56C47">
              <w:rPr>
                <w:rFonts w:asciiTheme="majorBidi" w:hAnsiTheme="majorBidi" w:cstheme="majorBidi"/>
                <w:rtl/>
                <w:lang w:bidi="dv-MV"/>
              </w:rPr>
              <w:t>3</w:t>
            </w:r>
            <w:r w:rsidRPr="00E56C47">
              <w:rPr>
                <w:rFonts w:asciiTheme="majorBidi" w:hAnsiTheme="majorBidi" w:cstheme="majorBidi"/>
                <w:lang w:bidi="dv-MV"/>
              </w:rPr>
              <w:t xml:space="preserve"> (</w:t>
            </w:r>
            <w:r w:rsidRPr="00E56C47">
              <w:rPr>
                <w:rFonts w:asciiTheme="majorBidi" w:hAnsiTheme="majorBidi" w:cstheme="majorBidi"/>
              </w:rPr>
              <w:t>three) months of the financial year) and bi-annual reports</w:t>
            </w:r>
            <w:r w:rsidR="00B777D8">
              <w:rPr>
                <w:rFonts w:asciiTheme="majorBidi" w:hAnsiTheme="majorBidi" w:cstheme="majorBidi"/>
              </w:rPr>
              <w:t>,</w:t>
            </w:r>
            <w:r w:rsidRPr="00E56C47">
              <w:rPr>
                <w:rFonts w:asciiTheme="majorBidi" w:hAnsiTheme="majorBidi" w:cstheme="majorBidi"/>
              </w:rPr>
              <w:t xml:space="preserve"> published at the end of every six months of the financial year, in accordance with this Regulation and any guidelines made thereunder.</w:t>
            </w:r>
          </w:p>
        </w:tc>
      </w:tr>
      <w:tr w:rsidR="00E56C47" w:rsidRPr="00E56C47" w14:paraId="7EF94169" w14:textId="77777777" w:rsidTr="00AA507C">
        <w:tc>
          <w:tcPr>
            <w:tcW w:w="535" w:type="dxa"/>
          </w:tcPr>
          <w:p w14:paraId="4E8BBE79" w14:textId="294C5B9B" w:rsidR="00E56C47" w:rsidRPr="00E56C47" w:rsidRDefault="007B4C03" w:rsidP="00050DFA">
            <w:pPr>
              <w:spacing w:line="360" w:lineRule="auto"/>
              <w:rPr>
                <w:rFonts w:asciiTheme="majorBidi" w:hAnsiTheme="majorBidi" w:cstheme="majorBidi"/>
              </w:rPr>
            </w:pPr>
            <w:r>
              <w:rPr>
                <w:rFonts w:asciiTheme="majorBidi" w:hAnsiTheme="majorBidi" w:cstheme="majorBidi"/>
              </w:rPr>
              <w:t>2.</w:t>
            </w:r>
          </w:p>
        </w:tc>
        <w:tc>
          <w:tcPr>
            <w:tcW w:w="8815" w:type="dxa"/>
            <w:gridSpan w:val="5"/>
          </w:tcPr>
          <w:p w14:paraId="28667DEA" w14:textId="22A81B2E" w:rsidR="00E56C47" w:rsidRPr="00E56C47" w:rsidRDefault="007B4C03" w:rsidP="007B4C03">
            <w:pPr>
              <w:spacing w:line="360" w:lineRule="auto"/>
              <w:rPr>
                <w:rFonts w:asciiTheme="majorBidi" w:hAnsiTheme="majorBidi" w:cstheme="majorBidi"/>
              </w:rPr>
            </w:pPr>
            <w:r>
              <w:rPr>
                <w:rFonts w:asciiTheme="majorBidi" w:hAnsiTheme="majorBidi" w:cstheme="majorBidi"/>
              </w:rPr>
              <w:t>Section</w:t>
            </w:r>
            <w:r w:rsidRPr="007B4C03">
              <w:rPr>
                <w:rFonts w:asciiTheme="majorBidi" w:hAnsiTheme="majorBidi" w:cstheme="majorBidi"/>
              </w:rPr>
              <w:t xml:space="preserve"> 9</w:t>
            </w:r>
            <w:r w:rsidR="006D63C4">
              <w:rPr>
                <w:rFonts w:asciiTheme="majorBidi" w:hAnsiTheme="majorBidi" w:cstheme="majorBidi"/>
              </w:rPr>
              <w:t xml:space="preserve"> </w:t>
            </w:r>
            <w:r w:rsidRPr="007B4C03">
              <w:rPr>
                <w:rFonts w:asciiTheme="majorBidi" w:hAnsiTheme="majorBidi" w:cstheme="majorBidi"/>
              </w:rPr>
              <w:t xml:space="preserve">(b)(2) of the said Regulations is </w:t>
            </w:r>
            <w:r w:rsidR="006D63C4">
              <w:rPr>
                <w:rFonts w:asciiTheme="majorBidi" w:hAnsiTheme="majorBidi" w:cstheme="majorBidi"/>
              </w:rPr>
              <w:t xml:space="preserve">to be </w:t>
            </w:r>
            <w:r w:rsidRPr="007B4C03">
              <w:rPr>
                <w:rFonts w:asciiTheme="majorBidi" w:hAnsiTheme="majorBidi" w:cstheme="majorBidi"/>
              </w:rPr>
              <w:t>amended as follows</w:t>
            </w:r>
            <w:r>
              <w:rPr>
                <w:rFonts w:asciiTheme="majorBidi" w:hAnsiTheme="majorBidi" w:cstheme="majorBidi"/>
              </w:rPr>
              <w:t>:</w:t>
            </w:r>
          </w:p>
        </w:tc>
      </w:tr>
      <w:tr w:rsidR="00E56C47" w:rsidRPr="00E56C47" w14:paraId="451F5E65" w14:textId="77777777" w:rsidTr="00AA507C">
        <w:tc>
          <w:tcPr>
            <w:tcW w:w="535" w:type="dxa"/>
          </w:tcPr>
          <w:p w14:paraId="278D2235" w14:textId="77777777" w:rsidR="00E56C47" w:rsidRPr="00E56C47" w:rsidRDefault="00E56C47" w:rsidP="0073481E">
            <w:pPr>
              <w:spacing w:line="360" w:lineRule="auto"/>
              <w:rPr>
                <w:rFonts w:asciiTheme="majorBidi" w:hAnsiTheme="majorBidi" w:cstheme="majorBidi"/>
              </w:rPr>
            </w:pPr>
          </w:p>
        </w:tc>
        <w:tc>
          <w:tcPr>
            <w:tcW w:w="2070" w:type="dxa"/>
          </w:tcPr>
          <w:p w14:paraId="293DCFDB" w14:textId="621700F8" w:rsidR="00E56C47" w:rsidRPr="00E56C47" w:rsidRDefault="00E56C47" w:rsidP="0073481E">
            <w:pPr>
              <w:spacing w:line="360" w:lineRule="auto"/>
              <w:rPr>
                <w:rFonts w:asciiTheme="majorBidi" w:hAnsiTheme="majorBidi" w:cstheme="majorBidi"/>
              </w:rPr>
            </w:pPr>
            <w:r w:rsidRPr="00E56C47">
              <w:rPr>
                <w:rFonts w:asciiTheme="majorBidi" w:hAnsiTheme="majorBidi" w:cstheme="majorBidi"/>
              </w:rPr>
              <w:t>Website</w:t>
            </w:r>
          </w:p>
        </w:tc>
        <w:tc>
          <w:tcPr>
            <w:tcW w:w="720" w:type="dxa"/>
          </w:tcPr>
          <w:p w14:paraId="435BC346" w14:textId="771A7E8B" w:rsidR="00E56C47" w:rsidRPr="00E56C47" w:rsidRDefault="00E56C47" w:rsidP="0073481E">
            <w:pPr>
              <w:spacing w:line="360" w:lineRule="auto"/>
              <w:rPr>
                <w:rFonts w:asciiTheme="majorBidi" w:hAnsiTheme="majorBidi" w:cstheme="majorBidi"/>
              </w:rPr>
            </w:pPr>
            <w:r w:rsidRPr="00E56C47">
              <w:rPr>
                <w:rFonts w:asciiTheme="majorBidi" w:hAnsiTheme="majorBidi" w:cstheme="majorBidi"/>
              </w:rPr>
              <w:t>9.</w:t>
            </w:r>
          </w:p>
        </w:tc>
        <w:tc>
          <w:tcPr>
            <w:tcW w:w="540" w:type="dxa"/>
          </w:tcPr>
          <w:p w14:paraId="325F2F8B" w14:textId="64C59E15" w:rsidR="00E56C47" w:rsidRPr="00E56C47" w:rsidRDefault="00E56C47" w:rsidP="0073481E">
            <w:pPr>
              <w:spacing w:line="360" w:lineRule="auto"/>
              <w:rPr>
                <w:rFonts w:asciiTheme="majorBidi" w:hAnsiTheme="majorBidi" w:cstheme="majorBidi"/>
              </w:rPr>
            </w:pPr>
            <w:r w:rsidRPr="00E56C47">
              <w:rPr>
                <w:rFonts w:asciiTheme="majorBidi" w:hAnsiTheme="majorBidi" w:cstheme="majorBidi"/>
              </w:rPr>
              <w:t>(b)</w:t>
            </w:r>
          </w:p>
        </w:tc>
        <w:tc>
          <w:tcPr>
            <w:tcW w:w="540" w:type="dxa"/>
          </w:tcPr>
          <w:p w14:paraId="08AFBC8B" w14:textId="7FD8B8BA" w:rsidR="00E56C47" w:rsidRPr="00E56C47" w:rsidRDefault="00E56C47" w:rsidP="0073481E">
            <w:pPr>
              <w:spacing w:line="360" w:lineRule="auto"/>
              <w:rPr>
                <w:rFonts w:asciiTheme="majorBidi" w:hAnsiTheme="majorBidi" w:cstheme="majorBidi"/>
              </w:rPr>
            </w:pPr>
            <w:r w:rsidRPr="00E56C47">
              <w:rPr>
                <w:rFonts w:asciiTheme="majorBidi" w:hAnsiTheme="majorBidi" w:cstheme="majorBidi"/>
              </w:rPr>
              <w:t>(2)</w:t>
            </w:r>
          </w:p>
        </w:tc>
        <w:tc>
          <w:tcPr>
            <w:tcW w:w="4945" w:type="dxa"/>
          </w:tcPr>
          <w:p w14:paraId="58E0DA31" w14:textId="0E257A89" w:rsidR="00E56C47" w:rsidRPr="00E56C47" w:rsidRDefault="00E56C47" w:rsidP="00AF284F">
            <w:pPr>
              <w:spacing w:line="360" w:lineRule="auto"/>
              <w:rPr>
                <w:rFonts w:asciiTheme="majorBidi" w:hAnsiTheme="majorBidi" w:cstheme="majorBidi"/>
              </w:rPr>
            </w:pPr>
            <w:r w:rsidRPr="00E56C47">
              <w:rPr>
                <w:rFonts w:asciiTheme="majorBidi" w:hAnsiTheme="majorBidi" w:cstheme="majorBidi"/>
              </w:rPr>
              <w:t>Articles of Association and Memorandum of Association</w:t>
            </w:r>
          </w:p>
        </w:tc>
      </w:tr>
      <w:tr w:rsidR="004D3B01" w:rsidRPr="00E56C47" w14:paraId="01ACA067" w14:textId="77777777" w:rsidTr="00AA507C">
        <w:tc>
          <w:tcPr>
            <w:tcW w:w="535" w:type="dxa"/>
          </w:tcPr>
          <w:p w14:paraId="4CCB1036" w14:textId="190B97EA" w:rsidR="004D3B01" w:rsidRPr="00E56C47" w:rsidRDefault="004D3B01" w:rsidP="004D3B01">
            <w:pPr>
              <w:spacing w:line="360" w:lineRule="auto"/>
              <w:rPr>
                <w:rFonts w:asciiTheme="majorBidi" w:hAnsiTheme="majorBidi" w:cstheme="majorBidi"/>
              </w:rPr>
            </w:pPr>
            <w:r>
              <w:rPr>
                <w:rFonts w:asciiTheme="majorBidi" w:hAnsiTheme="majorBidi" w:cstheme="majorBidi"/>
              </w:rPr>
              <w:t>3.</w:t>
            </w:r>
          </w:p>
        </w:tc>
        <w:tc>
          <w:tcPr>
            <w:tcW w:w="8815" w:type="dxa"/>
            <w:gridSpan w:val="5"/>
          </w:tcPr>
          <w:p w14:paraId="1F7FB76D" w14:textId="4CBBFEB8" w:rsidR="004D3B01" w:rsidRPr="00E56C47" w:rsidRDefault="004D3B01" w:rsidP="004D3B01">
            <w:pPr>
              <w:spacing w:line="360" w:lineRule="auto"/>
              <w:rPr>
                <w:rFonts w:asciiTheme="majorBidi" w:hAnsiTheme="majorBidi" w:cstheme="majorBidi"/>
              </w:rPr>
            </w:pPr>
            <w:r>
              <w:rPr>
                <w:rFonts w:asciiTheme="majorBidi" w:hAnsiTheme="majorBidi" w:cstheme="majorBidi"/>
              </w:rPr>
              <w:t>Section</w:t>
            </w:r>
            <w:r w:rsidRPr="007B4C03">
              <w:rPr>
                <w:rFonts w:asciiTheme="majorBidi" w:hAnsiTheme="majorBidi" w:cstheme="majorBidi"/>
              </w:rPr>
              <w:t xml:space="preserve"> </w:t>
            </w:r>
            <w:r>
              <w:rPr>
                <w:rFonts w:asciiTheme="majorBidi" w:hAnsiTheme="majorBidi" w:cstheme="majorBidi"/>
              </w:rPr>
              <w:t xml:space="preserve">10 </w:t>
            </w:r>
            <w:r w:rsidRPr="007B4C03">
              <w:rPr>
                <w:rFonts w:asciiTheme="majorBidi" w:hAnsiTheme="majorBidi" w:cstheme="majorBidi"/>
              </w:rPr>
              <w:t>(</w:t>
            </w:r>
            <w:r>
              <w:rPr>
                <w:rFonts w:asciiTheme="majorBidi" w:hAnsiTheme="majorBidi" w:cstheme="majorBidi"/>
              </w:rPr>
              <w:t>a</w:t>
            </w:r>
            <w:r w:rsidRPr="007B4C03">
              <w:rPr>
                <w:rFonts w:asciiTheme="majorBidi" w:hAnsiTheme="majorBidi" w:cstheme="majorBidi"/>
              </w:rPr>
              <w:t>)(</w:t>
            </w:r>
            <w:r>
              <w:rPr>
                <w:rFonts w:asciiTheme="majorBidi" w:hAnsiTheme="majorBidi" w:cstheme="majorBidi"/>
              </w:rPr>
              <w:t>2</w:t>
            </w:r>
            <w:r w:rsidRPr="007B4C03">
              <w:rPr>
                <w:rFonts w:asciiTheme="majorBidi" w:hAnsiTheme="majorBidi" w:cstheme="majorBidi"/>
              </w:rPr>
              <w:t xml:space="preserve">) of the said Regulations is </w:t>
            </w:r>
            <w:r>
              <w:rPr>
                <w:rFonts w:asciiTheme="majorBidi" w:hAnsiTheme="majorBidi" w:cstheme="majorBidi"/>
              </w:rPr>
              <w:t xml:space="preserve">to be </w:t>
            </w:r>
            <w:r w:rsidRPr="007B4C03">
              <w:rPr>
                <w:rFonts w:asciiTheme="majorBidi" w:hAnsiTheme="majorBidi" w:cstheme="majorBidi"/>
              </w:rPr>
              <w:t>amended as follows</w:t>
            </w:r>
            <w:r>
              <w:rPr>
                <w:rFonts w:asciiTheme="majorBidi" w:hAnsiTheme="majorBidi" w:cstheme="majorBidi"/>
              </w:rPr>
              <w:t>:</w:t>
            </w:r>
          </w:p>
        </w:tc>
      </w:tr>
      <w:tr w:rsidR="004D3B01" w:rsidRPr="00E56C47" w14:paraId="0C6F66BF" w14:textId="77777777" w:rsidTr="00AA507C">
        <w:tc>
          <w:tcPr>
            <w:tcW w:w="535" w:type="dxa"/>
          </w:tcPr>
          <w:p w14:paraId="43A93BB9" w14:textId="77777777" w:rsidR="004D3B01" w:rsidRPr="00E56C47" w:rsidRDefault="004D3B01" w:rsidP="004D3B01">
            <w:pPr>
              <w:spacing w:line="360" w:lineRule="auto"/>
              <w:rPr>
                <w:rFonts w:asciiTheme="majorBidi" w:hAnsiTheme="majorBidi" w:cstheme="majorBidi"/>
              </w:rPr>
            </w:pPr>
          </w:p>
        </w:tc>
        <w:tc>
          <w:tcPr>
            <w:tcW w:w="2070" w:type="dxa"/>
          </w:tcPr>
          <w:p w14:paraId="4E650F28" w14:textId="3164D037" w:rsidR="004D3B01" w:rsidRPr="00E56C47" w:rsidRDefault="004D3B01" w:rsidP="004D3B01">
            <w:pPr>
              <w:spacing w:line="360" w:lineRule="auto"/>
              <w:rPr>
                <w:rFonts w:asciiTheme="majorBidi" w:hAnsiTheme="majorBidi" w:cstheme="majorBidi"/>
              </w:rPr>
            </w:pPr>
            <w:r w:rsidRPr="00E56C47">
              <w:rPr>
                <w:rFonts w:asciiTheme="majorBidi" w:hAnsiTheme="majorBidi" w:cstheme="majorBidi"/>
              </w:rPr>
              <w:t>Financial Accounts</w:t>
            </w:r>
          </w:p>
        </w:tc>
        <w:tc>
          <w:tcPr>
            <w:tcW w:w="720" w:type="dxa"/>
          </w:tcPr>
          <w:p w14:paraId="16036167" w14:textId="0050EFC1" w:rsidR="004D3B01" w:rsidRPr="00E56C47" w:rsidRDefault="004D3B01" w:rsidP="004D3B01">
            <w:pPr>
              <w:spacing w:line="360" w:lineRule="auto"/>
              <w:rPr>
                <w:rFonts w:asciiTheme="majorBidi" w:hAnsiTheme="majorBidi" w:cstheme="majorBidi"/>
              </w:rPr>
            </w:pPr>
            <w:r>
              <w:rPr>
                <w:rFonts w:asciiTheme="majorBidi" w:hAnsiTheme="majorBidi" w:cstheme="majorBidi"/>
              </w:rPr>
              <w:t>10.</w:t>
            </w:r>
          </w:p>
        </w:tc>
        <w:tc>
          <w:tcPr>
            <w:tcW w:w="540" w:type="dxa"/>
          </w:tcPr>
          <w:p w14:paraId="1ABC672A" w14:textId="5D89D4A8" w:rsidR="004D3B01" w:rsidRPr="00E56C47" w:rsidRDefault="004D3B01" w:rsidP="004D3B01">
            <w:pPr>
              <w:spacing w:line="360" w:lineRule="auto"/>
              <w:rPr>
                <w:rFonts w:asciiTheme="majorBidi" w:hAnsiTheme="majorBidi" w:cstheme="majorBidi"/>
              </w:rPr>
            </w:pPr>
            <w:r>
              <w:rPr>
                <w:rFonts w:asciiTheme="majorBidi" w:hAnsiTheme="majorBidi" w:cstheme="majorBidi"/>
              </w:rPr>
              <w:t>(a)</w:t>
            </w:r>
          </w:p>
        </w:tc>
        <w:tc>
          <w:tcPr>
            <w:tcW w:w="540" w:type="dxa"/>
          </w:tcPr>
          <w:p w14:paraId="48CE7952" w14:textId="4C5FFA0A" w:rsidR="004D3B01" w:rsidRPr="00E56C47" w:rsidRDefault="004D3B01" w:rsidP="004D3B01">
            <w:pPr>
              <w:spacing w:line="360" w:lineRule="auto"/>
              <w:rPr>
                <w:rFonts w:asciiTheme="majorBidi" w:hAnsiTheme="majorBidi" w:cstheme="majorBidi"/>
              </w:rPr>
            </w:pPr>
            <w:r>
              <w:rPr>
                <w:rFonts w:asciiTheme="majorBidi" w:hAnsiTheme="majorBidi" w:cstheme="majorBidi"/>
              </w:rPr>
              <w:t>(2)</w:t>
            </w:r>
          </w:p>
        </w:tc>
        <w:tc>
          <w:tcPr>
            <w:tcW w:w="4945" w:type="dxa"/>
          </w:tcPr>
          <w:p w14:paraId="34110812" w14:textId="5EBE3E9F" w:rsidR="004D3B01" w:rsidRPr="00E56C47" w:rsidRDefault="004D3B01" w:rsidP="004D3B01">
            <w:pPr>
              <w:spacing w:line="360" w:lineRule="auto"/>
              <w:rPr>
                <w:rFonts w:asciiTheme="majorBidi" w:hAnsiTheme="majorBidi" w:cstheme="majorBidi"/>
              </w:rPr>
            </w:pPr>
            <w:r w:rsidRPr="004D3B01">
              <w:rPr>
                <w:rFonts w:asciiTheme="majorBidi" w:hAnsiTheme="majorBidi" w:cstheme="majorBidi"/>
              </w:rPr>
              <w:t>The periodic report shall contain the information specified in the</w:t>
            </w:r>
            <w:r>
              <w:rPr>
                <w:rFonts w:asciiTheme="majorBidi" w:hAnsiTheme="majorBidi" w:cstheme="majorBidi"/>
              </w:rPr>
              <w:t xml:space="preserve"> relevant</w:t>
            </w:r>
            <w:r w:rsidRPr="004D3B01">
              <w:rPr>
                <w:rFonts w:asciiTheme="majorBidi" w:hAnsiTheme="majorBidi" w:cstheme="majorBidi"/>
              </w:rPr>
              <w:t xml:space="preserve"> guidelines</w:t>
            </w:r>
            <w:r>
              <w:rPr>
                <w:rFonts w:asciiTheme="majorBidi" w:hAnsiTheme="majorBidi" w:cstheme="majorBidi"/>
              </w:rPr>
              <w:t xml:space="preserve"> </w:t>
            </w:r>
            <w:r w:rsidRPr="004D3B01">
              <w:rPr>
                <w:rFonts w:asciiTheme="majorBidi" w:hAnsiTheme="majorBidi" w:cstheme="majorBidi"/>
              </w:rPr>
              <w:t>published by the Authority on its website.</w:t>
            </w:r>
          </w:p>
        </w:tc>
      </w:tr>
      <w:tr w:rsidR="004D3B01" w:rsidRPr="00E56C47" w14:paraId="7640B27C" w14:textId="77777777" w:rsidTr="00AA507C">
        <w:tc>
          <w:tcPr>
            <w:tcW w:w="535" w:type="dxa"/>
          </w:tcPr>
          <w:p w14:paraId="11328A5C" w14:textId="4CAE0C14" w:rsidR="004D3B01" w:rsidRPr="00E56C47" w:rsidRDefault="004D3B01" w:rsidP="004D3B01">
            <w:pPr>
              <w:spacing w:line="360" w:lineRule="auto"/>
              <w:rPr>
                <w:rFonts w:asciiTheme="majorBidi" w:hAnsiTheme="majorBidi" w:cstheme="majorBidi"/>
              </w:rPr>
            </w:pPr>
            <w:r>
              <w:rPr>
                <w:rFonts w:asciiTheme="majorBidi" w:hAnsiTheme="majorBidi" w:cstheme="majorBidi"/>
              </w:rPr>
              <w:t>4.</w:t>
            </w:r>
          </w:p>
        </w:tc>
        <w:tc>
          <w:tcPr>
            <w:tcW w:w="8815" w:type="dxa"/>
            <w:gridSpan w:val="5"/>
          </w:tcPr>
          <w:p w14:paraId="77B85924" w14:textId="02A56807" w:rsidR="004D3B01" w:rsidRPr="004D3B01" w:rsidRDefault="004D3B01" w:rsidP="004D3B01">
            <w:pPr>
              <w:spacing w:line="360" w:lineRule="auto"/>
              <w:rPr>
                <w:rFonts w:asciiTheme="majorBidi" w:hAnsiTheme="majorBidi" w:cstheme="majorBidi"/>
              </w:rPr>
            </w:pPr>
            <w:r>
              <w:rPr>
                <w:rFonts w:asciiTheme="majorBidi" w:hAnsiTheme="majorBidi" w:cstheme="majorBidi"/>
              </w:rPr>
              <w:t>Section</w:t>
            </w:r>
            <w:r w:rsidRPr="007B4C03">
              <w:rPr>
                <w:rFonts w:asciiTheme="majorBidi" w:hAnsiTheme="majorBidi" w:cstheme="majorBidi"/>
              </w:rPr>
              <w:t xml:space="preserve"> </w:t>
            </w:r>
            <w:r>
              <w:rPr>
                <w:rFonts w:asciiTheme="majorBidi" w:hAnsiTheme="majorBidi" w:cstheme="majorBidi"/>
              </w:rPr>
              <w:t xml:space="preserve">10 </w:t>
            </w:r>
            <w:r w:rsidRPr="007B4C03">
              <w:rPr>
                <w:rFonts w:asciiTheme="majorBidi" w:hAnsiTheme="majorBidi" w:cstheme="majorBidi"/>
              </w:rPr>
              <w:t>(</w:t>
            </w:r>
            <w:r>
              <w:rPr>
                <w:rFonts w:asciiTheme="majorBidi" w:hAnsiTheme="majorBidi" w:cstheme="majorBidi"/>
              </w:rPr>
              <w:t>b</w:t>
            </w:r>
            <w:r w:rsidRPr="007B4C03">
              <w:rPr>
                <w:rFonts w:asciiTheme="majorBidi" w:hAnsiTheme="majorBidi" w:cstheme="majorBidi"/>
              </w:rPr>
              <w:t xml:space="preserve">) of the said Regulations is </w:t>
            </w:r>
            <w:r>
              <w:rPr>
                <w:rFonts w:asciiTheme="majorBidi" w:hAnsiTheme="majorBidi" w:cstheme="majorBidi"/>
              </w:rPr>
              <w:t xml:space="preserve">to be </w:t>
            </w:r>
            <w:r w:rsidRPr="007B4C03">
              <w:rPr>
                <w:rFonts w:asciiTheme="majorBidi" w:hAnsiTheme="majorBidi" w:cstheme="majorBidi"/>
              </w:rPr>
              <w:t>amended as follows</w:t>
            </w:r>
            <w:r>
              <w:rPr>
                <w:rFonts w:asciiTheme="majorBidi" w:hAnsiTheme="majorBidi" w:cstheme="majorBidi"/>
              </w:rPr>
              <w:t>:</w:t>
            </w:r>
          </w:p>
        </w:tc>
      </w:tr>
      <w:tr w:rsidR="004D3B01" w:rsidRPr="00E56C47" w14:paraId="6D3FBA5B" w14:textId="77777777" w:rsidTr="00AA507C">
        <w:tc>
          <w:tcPr>
            <w:tcW w:w="535" w:type="dxa"/>
          </w:tcPr>
          <w:p w14:paraId="77D8705E" w14:textId="77777777" w:rsidR="004D3B01" w:rsidRPr="00E56C47" w:rsidRDefault="004D3B01" w:rsidP="004D3B01">
            <w:pPr>
              <w:spacing w:line="360" w:lineRule="auto"/>
              <w:rPr>
                <w:rFonts w:asciiTheme="majorBidi" w:hAnsiTheme="majorBidi" w:cstheme="majorBidi"/>
              </w:rPr>
            </w:pPr>
          </w:p>
        </w:tc>
        <w:tc>
          <w:tcPr>
            <w:tcW w:w="2070" w:type="dxa"/>
          </w:tcPr>
          <w:p w14:paraId="455BBDCF" w14:textId="77777777" w:rsidR="004D3B01" w:rsidRPr="00E56C47" w:rsidRDefault="004D3B01" w:rsidP="004D3B01">
            <w:pPr>
              <w:spacing w:line="360" w:lineRule="auto"/>
              <w:rPr>
                <w:rFonts w:asciiTheme="majorBidi" w:hAnsiTheme="majorBidi" w:cstheme="majorBidi"/>
              </w:rPr>
            </w:pPr>
          </w:p>
        </w:tc>
        <w:tc>
          <w:tcPr>
            <w:tcW w:w="720" w:type="dxa"/>
          </w:tcPr>
          <w:p w14:paraId="6B8D8B2F" w14:textId="36483697" w:rsidR="004D3B01" w:rsidRDefault="004D3B01" w:rsidP="004D3B01">
            <w:pPr>
              <w:spacing w:line="360" w:lineRule="auto"/>
              <w:rPr>
                <w:rFonts w:asciiTheme="majorBidi" w:hAnsiTheme="majorBidi" w:cstheme="majorBidi"/>
              </w:rPr>
            </w:pPr>
            <w:r>
              <w:rPr>
                <w:rFonts w:asciiTheme="majorBidi" w:hAnsiTheme="majorBidi" w:cstheme="majorBidi"/>
              </w:rPr>
              <w:t>10.</w:t>
            </w:r>
          </w:p>
        </w:tc>
        <w:tc>
          <w:tcPr>
            <w:tcW w:w="540" w:type="dxa"/>
          </w:tcPr>
          <w:p w14:paraId="302173E0" w14:textId="19C4EAF2" w:rsidR="004D3B01" w:rsidRDefault="004D3B01" w:rsidP="004D3B01">
            <w:pPr>
              <w:spacing w:line="360" w:lineRule="auto"/>
              <w:rPr>
                <w:rFonts w:asciiTheme="majorBidi" w:hAnsiTheme="majorBidi" w:cstheme="majorBidi"/>
              </w:rPr>
            </w:pPr>
            <w:r>
              <w:rPr>
                <w:rFonts w:asciiTheme="majorBidi" w:hAnsiTheme="majorBidi" w:cstheme="majorBidi"/>
              </w:rPr>
              <w:t>(b)</w:t>
            </w:r>
          </w:p>
        </w:tc>
        <w:tc>
          <w:tcPr>
            <w:tcW w:w="5485" w:type="dxa"/>
            <w:gridSpan w:val="2"/>
          </w:tcPr>
          <w:p w14:paraId="24FBDC50" w14:textId="1E33E4D3" w:rsidR="004D3B01" w:rsidRPr="004D3B01" w:rsidRDefault="004D3B01" w:rsidP="004D3B01">
            <w:pPr>
              <w:spacing w:line="360" w:lineRule="auto"/>
              <w:jc w:val="both"/>
              <w:rPr>
                <w:rFonts w:asciiTheme="majorBidi" w:hAnsiTheme="majorBidi" w:cstheme="majorBidi"/>
              </w:rPr>
            </w:pPr>
            <w:r w:rsidRPr="004D3B01">
              <w:rPr>
                <w:rFonts w:asciiTheme="majorBidi" w:hAnsiTheme="majorBidi" w:cstheme="majorBidi"/>
              </w:rPr>
              <w:t xml:space="preserve">Any amendment to the guidelines published by the Authority concerning the information to be included in periodic reports shall be made following consultation with the issuers of securities. Such amendments shall take effect only after providing not less than sixty (60) </w:t>
            </w:r>
            <w:r>
              <w:rPr>
                <w:rFonts w:asciiTheme="majorBidi" w:hAnsiTheme="majorBidi" w:cstheme="majorBidi"/>
              </w:rPr>
              <w:t>days'</w:t>
            </w:r>
            <w:r w:rsidRPr="004D3B01">
              <w:rPr>
                <w:rFonts w:asciiTheme="majorBidi" w:hAnsiTheme="majorBidi" w:cstheme="majorBidi"/>
              </w:rPr>
              <w:t xml:space="preserve"> notice to the issuers.</w:t>
            </w:r>
          </w:p>
        </w:tc>
      </w:tr>
      <w:tr w:rsidR="004D3B01" w:rsidRPr="00E56C47" w14:paraId="6F49CE30" w14:textId="77777777" w:rsidTr="00AA507C">
        <w:tc>
          <w:tcPr>
            <w:tcW w:w="535" w:type="dxa"/>
          </w:tcPr>
          <w:p w14:paraId="216B52E1" w14:textId="682891E5" w:rsidR="004D3B01" w:rsidRPr="00E56C47" w:rsidRDefault="004D3B01" w:rsidP="004D3B01">
            <w:pPr>
              <w:spacing w:line="360" w:lineRule="auto"/>
              <w:rPr>
                <w:rFonts w:asciiTheme="majorBidi" w:hAnsiTheme="majorBidi" w:cstheme="majorBidi"/>
              </w:rPr>
            </w:pPr>
            <w:r>
              <w:rPr>
                <w:rFonts w:asciiTheme="majorBidi" w:hAnsiTheme="majorBidi" w:cstheme="majorBidi"/>
              </w:rPr>
              <w:lastRenderedPageBreak/>
              <w:t>5.</w:t>
            </w:r>
          </w:p>
        </w:tc>
        <w:tc>
          <w:tcPr>
            <w:tcW w:w="8815" w:type="dxa"/>
            <w:gridSpan w:val="5"/>
          </w:tcPr>
          <w:p w14:paraId="6F1AB976" w14:textId="6A7EEF1D" w:rsidR="004D3B01" w:rsidRPr="00E56C47" w:rsidRDefault="004D3B01" w:rsidP="004D3B01">
            <w:pPr>
              <w:spacing w:line="360" w:lineRule="auto"/>
              <w:rPr>
                <w:rFonts w:asciiTheme="majorBidi" w:hAnsiTheme="majorBidi" w:cstheme="majorBidi"/>
              </w:rPr>
            </w:pPr>
            <w:r>
              <w:rPr>
                <w:rFonts w:asciiTheme="majorBidi" w:hAnsiTheme="majorBidi" w:cstheme="majorBidi"/>
              </w:rPr>
              <w:t>Section</w:t>
            </w:r>
            <w:r w:rsidRPr="007B4C03">
              <w:rPr>
                <w:rFonts w:asciiTheme="majorBidi" w:hAnsiTheme="majorBidi" w:cstheme="majorBidi"/>
              </w:rPr>
              <w:t xml:space="preserve"> </w:t>
            </w:r>
            <w:r>
              <w:rPr>
                <w:rFonts w:asciiTheme="majorBidi" w:hAnsiTheme="majorBidi" w:cstheme="majorBidi"/>
              </w:rPr>
              <w:t xml:space="preserve">10 </w:t>
            </w:r>
            <w:r w:rsidRPr="007B4C03">
              <w:rPr>
                <w:rFonts w:asciiTheme="majorBidi" w:hAnsiTheme="majorBidi" w:cstheme="majorBidi"/>
              </w:rPr>
              <w:t>(</w:t>
            </w:r>
            <w:r>
              <w:rPr>
                <w:rFonts w:asciiTheme="majorBidi" w:hAnsiTheme="majorBidi" w:cstheme="majorBidi"/>
              </w:rPr>
              <w:t>c</w:t>
            </w:r>
            <w:r w:rsidRPr="007B4C03">
              <w:rPr>
                <w:rFonts w:asciiTheme="majorBidi" w:hAnsiTheme="majorBidi" w:cstheme="majorBidi"/>
              </w:rPr>
              <w:t>)(</w:t>
            </w:r>
            <w:r>
              <w:rPr>
                <w:rFonts w:asciiTheme="majorBidi" w:hAnsiTheme="majorBidi" w:cstheme="majorBidi"/>
              </w:rPr>
              <w:t>1</w:t>
            </w:r>
            <w:r w:rsidRPr="007B4C03">
              <w:rPr>
                <w:rFonts w:asciiTheme="majorBidi" w:hAnsiTheme="majorBidi" w:cstheme="majorBidi"/>
              </w:rPr>
              <w:t xml:space="preserve">) of the said Regulations is </w:t>
            </w:r>
            <w:r>
              <w:rPr>
                <w:rFonts w:asciiTheme="majorBidi" w:hAnsiTheme="majorBidi" w:cstheme="majorBidi"/>
              </w:rPr>
              <w:t xml:space="preserve">to be </w:t>
            </w:r>
            <w:r w:rsidRPr="007B4C03">
              <w:rPr>
                <w:rFonts w:asciiTheme="majorBidi" w:hAnsiTheme="majorBidi" w:cstheme="majorBidi"/>
              </w:rPr>
              <w:t>amended as follows</w:t>
            </w:r>
            <w:r>
              <w:rPr>
                <w:rFonts w:asciiTheme="majorBidi" w:hAnsiTheme="majorBidi" w:cstheme="majorBidi"/>
              </w:rPr>
              <w:t>:</w:t>
            </w:r>
          </w:p>
        </w:tc>
      </w:tr>
      <w:tr w:rsidR="004D3B01" w:rsidRPr="00E56C47" w14:paraId="4D154E93" w14:textId="77777777" w:rsidTr="00AA507C">
        <w:tc>
          <w:tcPr>
            <w:tcW w:w="535" w:type="dxa"/>
          </w:tcPr>
          <w:p w14:paraId="20E4325B" w14:textId="77777777" w:rsidR="004D3B01" w:rsidRPr="00E56C47" w:rsidRDefault="004D3B01" w:rsidP="004D3B01">
            <w:pPr>
              <w:spacing w:line="360" w:lineRule="auto"/>
              <w:rPr>
                <w:rFonts w:asciiTheme="majorBidi" w:hAnsiTheme="majorBidi" w:cstheme="majorBidi"/>
              </w:rPr>
            </w:pPr>
          </w:p>
        </w:tc>
        <w:tc>
          <w:tcPr>
            <w:tcW w:w="2070" w:type="dxa"/>
          </w:tcPr>
          <w:p w14:paraId="4563C5A6" w14:textId="43022AC7" w:rsidR="004D3B01" w:rsidRPr="00E56C47" w:rsidRDefault="004D3B01" w:rsidP="004D3B01">
            <w:pPr>
              <w:spacing w:line="360" w:lineRule="auto"/>
              <w:rPr>
                <w:rFonts w:asciiTheme="majorBidi" w:hAnsiTheme="majorBidi" w:cstheme="majorBidi"/>
              </w:rPr>
            </w:pPr>
          </w:p>
        </w:tc>
        <w:tc>
          <w:tcPr>
            <w:tcW w:w="720" w:type="dxa"/>
          </w:tcPr>
          <w:p w14:paraId="1FA2570F" w14:textId="5DB19B8A" w:rsidR="004D3B01" w:rsidRPr="00E56C47" w:rsidRDefault="004D3B01" w:rsidP="004D3B01">
            <w:pPr>
              <w:spacing w:line="360" w:lineRule="auto"/>
              <w:rPr>
                <w:rFonts w:asciiTheme="majorBidi" w:hAnsiTheme="majorBidi" w:cstheme="majorBidi"/>
              </w:rPr>
            </w:pPr>
            <w:r w:rsidRPr="00E56C47">
              <w:rPr>
                <w:rFonts w:asciiTheme="majorBidi" w:hAnsiTheme="majorBidi" w:cstheme="majorBidi"/>
              </w:rPr>
              <w:t>10.</w:t>
            </w:r>
          </w:p>
        </w:tc>
        <w:tc>
          <w:tcPr>
            <w:tcW w:w="540" w:type="dxa"/>
          </w:tcPr>
          <w:p w14:paraId="31F2A78D" w14:textId="1689BDFB" w:rsidR="004D3B01" w:rsidRPr="00E56C47" w:rsidRDefault="004D3B01" w:rsidP="004D3B01">
            <w:pPr>
              <w:spacing w:line="360" w:lineRule="auto"/>
              <w:rPr>
                <w:rFonts w:asciiTheme="majorBidi" w:hAnsiTheme="majorBidi" w:cstheme="majorBidi"/>
              </w:rPr>
            </w:pPr>
            <w:r w:rsidRPr="00E56C47">
              <w:rPr>
                <w:rFonts w:asciiTheme="majorBidi" w:hAnsiTheme="majorBidi" w:cstheme="majorBidi"/>
              </w:rPr>
              <w:t>(c)</w:t>
            </w:r>
          </w:p>
        </w:tc>
        <w:tc>
          <w:tcPr>
            <w:tcW w:w="540" w:type="dxa"/>
          </w:tcPr>
          <w:p w14:paraId="4512A28A" w14:textId="28FBF548" w:rsidR="004D3B01" w:rsidRPr="00E56C47" w:rsidRDefault="004D3B01" w:rsidP="004D3B01">
            <w:pPr>
              <w:spacing w:line="360" w:lineRule="auto"/>
              <w:rPr>
                <w:rFonts w:asciiTheme="majorBidi" w:hAnsiTheme="majorBidi" w:cstheme="majorBidi"/>
              </w:rPr>
            </w:pPr>
            <w:r w:rsidRPr="00E56C47">
              <w:rPr>
                <w:rFonts w:asciiTheme="majorBidi" w:hAnsiTheme="majorBidi" w:cstheme="majorBidi"/>
              </w:rPr>
              <w:t>(1)</w:t>
            </w:r>
          </w:p>
        </w:tc>
        <w:tc>
          <w:tcPr>
            <w:tcW w:w="4945" w:type="dxa"/>
          </w:tcPr>
          <w:p w14:paraId="76F26B8F" w14:textId="67FA4E75" w:rsidR="004D3B01" w:rsidRPr="00E56C47" w:rsidRDefault="004D3B01" w:rsidP="004D3B01">
            <w:pPr>
              <w:spacing w:line="360" w:lineRule="auto"/>
              <w:jc w:val="both"/>
              <w:rPr>
                <w:rFonts w:asciiTheme="majorBidi" w:hAnsiTheme="majorBidi" w:cstheme="majorBidi"/>
              </w:rPr>
            </w:pPr>
            <w:r w:rsidRPr="00E56C47">
              <w:rPr>
                <w:rFonts w:asciiTheme="majorBidi" w:hAnsiTheme="majorBidi" w:cstheme="majorBidi"/>
              </w:rPr>
              <w:t>The issuer shall disclose periodic and year-to-date standalone financial results within sixty (60) calendar days after the end of that period.</w:t>
            </w:r>
          </w:p>
        </w:tc>
      </w:tr>
      <w:tr w:rsidR="004D3B01" w:rsidRPr="00E56C47" w14:paraId="1A555171" w14:textId="77777777" w:rsidTr="00AA507C">
        <w:tc>
          <w:tcPr>
            <w:tcW w:w="535" w:type="dxa"/>
          </w:tcPr>
          <w:p w14:paraId="7A406EC3" w14:textId="345CF5BD" w:rsidR="004D3B01" w:rsidRPr="00E56C47" w:rsidRDefault="004D3B01" w:rsidP="004D3B01">
            <w:pPr>
              <w:spacing w:line="360" w:lineRule="auto"/>
              <w:rPr>
                <w:rFonts w:asciiTheme="majorBidi" w:hAnsiTheme="majorBidi" w:cstheme="majorBidi"/>
              </w:rPr>
            </w:pPr>
            <w:r>
              <w:rPr>
                <w:rFonts w:asciiTheme="majorBidi" w:hAnsiTheme="majorBidi" w:cstheme="majorBidi"/>
              </w:rPr>
              <w:t>6.</w:t>
            </w:r>
          </w:p>
        </w:tc>
        <w:tc>
          <w:tcPr>
            <w:tcW w:w="8815" w:type="dxa"/>
            <w:gridSpan w:val="5"/>
          </w:tcPr>
          <w:p w14:paraId="39555973" w14:textId="7D1A42AB" w:rsidR="004D3B01" w:rsidRPr="00E56C47" w:rsidRDefault="004D3B01" w:rsidP="004D3B01">
            <w:pPr>
              <w:spacing w:line="360" w:lineRule="auto"/>
              <w:rPr>
                <w:rFonts w:asciiTheme="majorBidi" w:hAnsiTheme="majorBidi" w:cstheme="majorBidi"/>
              </w:rPr>
            </w:pPr>
            <w:r>
              <w:rPr>
                <w:rFonts w:asciiTheme="majorBidi" w:hAnsiTheme="majorBidi" w:cstheme="majorBidi"/>
              </w:rPr>
              <w:t>Section</w:t>
            </w:r>
            <w:r w:rsidRPr="007B4C03">
              <w:rPr>
                <w:rFonts w:asciiTheme="majorBidi" w:hAnsiTheme="majorBidi" w:cstheme="majorBidi"/>
              </w:rPr>
              <w:t xml:space="preserve"> </w:t>
            </w:r>
            <w:r>
              <w:rPr>
                <w:rFonts w:asciiTheme="majorBidi" w:hAnsiTheme="majorBidi" w:cstheme="majorBidi"/>
              </w:rPr>
              <w:t>18 (b)</w:t>
            </w:r>
            <w:r w:rsidRPr="007B4C03">
              <w:rPr>
                <w:rFonts w:asciiTheme="majorBidi" w:hAnsiTheme="majorBidi" w:cstheme="majorBidi"/>
              </w:rPr>
              <w:t xml:space="preserve"> of the said Regulations is </w:t>
            </w:r>
            <w:r>
              <w:rPr>
                <w:rFonts w:asciiTheme="majorBidi" w:hAnsiTheme="majorBidi" w:cstheme="majorBidi"/>
              </w:rPr>
              <w:t xml:space="preserve">to be </w:t>
            </w:r>
            <w:r w:rsidRPr="007B4C03">
              <w:rPr>
                <w:rFonts w:asciiTheme="majorBidi" w:hAnsiTheme="majorBidi" w:cstheme="majorBidi"/>
              </w:rPr>
              <w:t>amended as follows</w:t>
            </w:r>
            <w:r>
              <w:rPr>
                <w:rFonts w:asciiTheme="majorBidi" w:hAnsiTheme="majorBidi" w:cstheme="majorBidi"/>
              </w:rPr>
              <w:t>:</w:t>
            </w:r>
          </w:p>
        </w:tc>
      </w:tr>
      <w:tr w:rsidR="004D3B01" w:rsidRPr="00E56C47" w14:paraId="117CB7F8" w14:textId="77777777" w:rsidTr="00AA507C">
        <w:tc>
          <w:tcPr>
            <w:tcW w:w="535" w:type="dxa"/>
          </w:tcPr>
          <w:p w14:paraId="5B012943" w14:textId="77777777" w:rsidR="004D3B01" w:rsidRPr="00E56C47" w:rsidRDefault="004D3B01" w:rsidP="004D3B01">
            <w:pPr>
              <w:spacing w:line="360" w:lineRule="auto"/>
              <w:rPr>
                <w:rFonts w:asciiTheme="majorBidi" w:hAnsiTheme="majorBidi" w:cstheme="majorBidi"/>
              </w:rPr>
            </w:pPr>
          </w:p>
        </w:tc>
        <w:tc>
          <w:tcPr>
            <w:tcW w:w="2070" w:type="dxa"/>
          </w:tcPr>
          <w:p w14:paraId="5E3120CB" w14:textId="14E61D5D" w:rsidR="004D3B01" w:rsidRPr="00E56C47" w:rsidRDefault="004D3B01" w:rsidP="004D3B01">
            <w:pPr>
              <w:spacing w:line="360" w:lineRule="auto"/>
              <w:rPr>
                <w:rFonts w:asciiTheme="majorBidi" w:hAnsiTheme="majorBidi" w:cstheme="majorBidi"/>
              </w:rPr>
            </w:pPr>
            <w:r w:rsidRPr="00E56C47">
              <w:rPr>
                <w:rFonts w:asciiTheme="majorBidi" w:hAnsiTheme="majorBidi" w:cstheme="majorBidi"/>
              </w:rPr>
              <w:t xml:space="preserve">Annual Reports </w:t>
            </w:r>
          </w:p>
        </w:tc>
        <w:tc>
          <w:tcPr>
            <w:tcW w:w="720" w:type="dxa"/>
          </w:tcPr>
          <w:p w14:paraId="1DC3FCC7" w14:textId="30A4B79D" w:rsidR="004D3B01" w:rsidRPr="00E56C47" w:rsidRDefault="004D3B01" w:rsidP="004D3B01">
            <w:pPr>
              <w:spacing w:line="360" w:lineRule="auto"/>
              <w:rPr>
                <w:rFonts w:asciiTheme="majorBidi" w:hAnsiTheme="majorBidi" w:cstheme="majorBidi"/>
              </w:rPr>
            </w:pPr>
            <w:r w:rsidRPr="00E56C47">
              <w:rPr>
                <w:rFonts w:asciiTheme="majorBidi" w:hAnsiTheme="majorBidi" w:cstheme="majorBidi"/>
              </w:rPr>
              <w:t>18.</w:t>
            </w:r>
          </w:p>
        </w:tc>
        <w:tc>
          <w:tcPr>
            <w:tcW w:w="540" w:type="dxa"/>
          </w:tcPr>
          <w:p w14:paraId="02C5252E" w14:textId="71927DFC" w:rsidR="004D3B01" w:rsidRPr="00E56C47" w:rsidRDefault="004D3B01" w:rsidP="004D3B01">
            <w:pPr>
              <w:spacing w:line="360" w:lineRule="auto"/>
              <w:rPr>
                <w:rFonts w:asciiTheme="majorBidi" w:hAnsiTheme="majorBidi" w:cstheme="majorBidi"/>
              </w:rPr>
            </w:pPr>
            <w:r w:rsidRPr="00E56C47">
              <w:rPr>
                <w:rFonts w:asciiTheme="majorBidi" w:hAnsiTheme="majorBidi" w:cstheme="majorBidi"/>
              </w:rPr>
              <w:t>(b)</w:t>
            </w:r>
          </w:p>
        </w:tc>
        <w:tc>
          <w:tcPr>
            <w:tcW w:w="540" w:type="dxa"/>
          </w:tcPr>
          <w:p w14:paraId="603002BE" w14:textId="77777777" w:rsidR="004D3B01" w:rsidRPr="00E56C47" w:rsidRDefault="004D3B01" w:rsidP="004D3B01">
            <w:pPr>
              <w:spacing w:line="360" w:lineRule="auto"/>
              <w:rPr>
                <w:rFonts w:asciiTheme="majorBidi" w:hAnsiTheme="majorBidi" w:cstheme="majorBidi"/>
              </w:rPr>
            </w:pPr>
          </w:p>
        </w:tc>
        <w:tc>
          <w:tcPr>
            <w:tcW w:w="4945" w:type="dxa"/>
          </w:tcPr>
          <w:p w14:paraId="2CE6133C" w14:textId="423502D2" w:rsidR="004D3B01" w:rsidRPr="004D3B01" w:rsidRDefault="004D3B01" w:rsidP="004D3B01">
            <w:pPr>
              <w:spacing w:line="360" w:lineRule="auto"/>
              <w:jc w:val="both"/>
              <w:rPr>
                <w:rFonts w:asciiTheme="majorBidi" w:hAnsiTheme="majorBidi" w:cstheme="majorBidi"/>
                <w:lang w:bidi="dv-MV"/>
              </w:rPr>
            </w:pPr>
            <w:r w:rsidRPr="004D3B01">
              <w:rPr>
                <w:rFonts w:asciiTheme="majorBidi" w:hAnsiTheme="majorBidi" w:cstheme="majorBidi"/>
                <w:lang w:bidi="dv-MV"/>
              </w:rPr>
              <w:t>The annual report shall contain such disclosures as are specified in the guidelines published by the Authority relating to periodic reporting, the Corporate Governance Code, and any other relevant rules or regulations.</w:t>
            </w:r>
          </w:p>
        </w:tc>
      </w:tr>
      <w:tr w:rsidR="00AA507C" w:rsidRPr="00E56C47" w14:paraId="59A92A09" w14:textId="77777777" w:rsidTr="00605ED8">
        <w:tc>
          <w:tcPr>
            <w:tcW w:w="535" w:type="dxa"/>
          </w:tcPr>
          <w:p w14:paraId="18272C96" w14:textId="3B12F9D5" w:rsidR="00AA507C" w:rsidRPr="00E56C47" w:rsidRDefault="00AA507C" w:rsidP="004D3B01">
            <w:pPr>
              <w:spacing w:line="360" w:lineRule="auto"/>
              <w:rPr>
                <w:rFonts w:asciiTheme="majorBidi" w:hAnsiTheme="majorBidi" w:cstheme="majorBidi"/>
              </w:rPr>
            </w:pPr>
            <w:r>
              <w:rPr>
                <w:rFonts w:asciiTheme="majorBidi" w:hAnsiTheme="majorBidi" w:cstheme="majorBidi"/>
              </w:rPr>
              <w:t>7.</w:t>
            </w:r>
          </w:p>
        </w:tc>
        <w:tc>
          <w:tcPr>
            <w:tcW w:w="8815" w:type="dxa"/>
            <w:gridSpan w:val="5"/>
          </w:tcPr>
          <w:p w14:paraId="30662513" w14:textId="739DDC4E" w:rsidR="00AA507C" w:rsidRPr="00AA507C" w:rsidRDefault="00AA507C" w:rsidP="00AA507C">
            <w:pPr>
              <w:spacing w:line="360" w:lineRule="auto"/>
              <w:jc w:val="both"/>
              <w:rPr>
                <w:rFonts w:asciiTheme="majorBidi" w:hAnsiTheme="majorBidi" w:cstheme="majorBidi"/>
                <w:lang w:bidi="dv-MV"/>
              </w:rPr>
            </w:pPr>
            <w:r>
              <w:rPr>
                <w:rFonts w:asciiTheme="majorBidi" w:hAnsiTheme="majorBidi" w:cstheme="majorBidi"/>
                <w:lang w:bidi="dv-MV"/>
              </w:rPr>
              <w:t xml:space="preserve">A </w:t>
            </w:r>
            <w:r w:rsidRPr="00AA507C">
              <w:rPr>
                <w:rFonts w:asciiTheme="majorBidi" w:hAnsiTheme="majorBidi" w:cstheme="majorBidi"/>
                <w:lang w:bidi="dv-MV"/>
              </w:rPr>
              <w:t xml:space="preserve">new </w:t>
            </w:r>
            <w:r>
              <w:rPr>
                <w:rFonts w:asciiTheme="majorBidi" w:hAnsiTheme="majorBidi" w:cstheme="majorBidi"/>
                <w:lang w:bidi="dv-MV"/>
              </w:rPr>
              <w:t>section (section 20-1) is to be added</w:t>
            </w:r>
            <w:r w:rsidRPr="00AA507C">
              <w:rPr>
                <w:rFonts w:asciiTheme="majorBidi" w:hAnsiTheme="majorBidi" w:cstheme="majorBidi"/>
                <w:lang w:bidi="dv-MV"/>
              </w:rPr>
              <w:t xml:space="preserve"> after </w:t>
            </w:r>
            <w:r>
              <w:rPr>
                <w:rFonts w:asciiTheme="majorBidi" w:hAnsiTheme="majorBidi" w:cstheme="majorBidi"/>
                <w:lang w:bidi="dv-MV"/>
              </w:rPr>
              <w:t>section</w:t>
            </w:r>
            <w:r w:rsidRPr="00AA507C">
              <w:rPr>
                <w:rFonts w:asciiTheme="majorBidi" w:hAnsiTheme="majorBidi" w:cstheme="majorBidi"/>
                <w:lang w:bidi="dv-MV"/>
              </w:rPr>
              <w:t xml:space="preserve"> 20 of the said </w:t>
            </w:r>
            <w:r>
              <w:rPr>
                <w:rFonts w:asciiTheme="majorBidi" w:hAnsiTheme="majorBidi" w:cstheme="majorBidi"/>
                <w:lang w:bidi="dv-MV"/>
              </w:rPr>
              <w:t>Regulation as follows:</w:t>
            </w:r>
          </w:p>
        </w:tc>
      </w:tr>
      <w:tr w:rsidR="001E7FB5" w:rsidRPr="00E56C47" w14:paraId="605E486A" w14:textId="77777777" w:rsidTr="00836E92">
        <w:tc>
          <w:tcPr>
            <w:tcW w:w="535" w:type="dxa"/>
          </w:tcPr>
          <w:p w14:paraId="416A38DA" w14:textId="77777777" w:rsidR="001E7FB5" w:rsidRPr="00E56C47" w:rsidRDefault="001E7FB5" w:rsidP="004D3B01">
            <w:pPr>
              <w:spacing w:line="360" w:lineRule="auto"/>
              <w:rPr>
                <w:rFonts w:asciiTheme="majorBidi" w:hAnsiTheme="majorBidi" w:cstheme="majorBidi"/>
              </w:rPr>
            </w:pPr>
          </w:p>
        </w:tc>
        <w:tc>
          <w:tcPr>
            <w:tcW w:w="2070" w:type="dxa"/>
          </w:tcPr>
          <w:p w14:paraId="78AA7065" w14:textId="68C99223" w:rsidR="001E7FB5" w:rsidRPr="00E56C47" w:rsidRDefault="001E7FB5" w:rsidP="004D3B01">
            <w:pPr>
              <w:spacing w:line="360" w:lineRule="auto"/>
              <w:rPr>
                <w:rFonts w:asciiTheme="majorBidi" w:hAnsiTheme="majorBidi" w:cstheme="majorBidi"/>
              </w:rPr>
            </w:pPr>
            <w:r w:rsidRPr="00E56C47">
              <w:rPr>
                <w:rFonts w:asciiTheme="majorBidi" w:hAnsiTheme="majorBidi" w:cstheme="majorBidi"/>
              </w:rPr>
              <w:t>Submission Procedures</w:t>
            </w:r>
            <w:r>
              <w:rPr>
                <w:rFonts w:asciiTheme="majorBidi" w:hAnsiTheme="majorBidi" w:cstheme="majorBidi"/>
              </w:rPr>
              <w:t xml:space="preserve"> </w:t>
            </w:r>
            <w:r>
              <w:rPr>
                <w:rFonts w:asciiTheme="majorBidi" w:hAnsiTheme="majorBidi" w:cs="MV Boli"/>
                <w:lang w:bidi="dv-MV"/>
              </w:rPr>
              <w:t xml:space="preserve">for </w:t>
            </w:r>
            <w:r w:rsidRPr="00E56C47">
              <w:rPr>
                <w:rFonts w:asciiTheme="majorBidi" w:hAnsiTheme="majorBidi" w:cstheme="majorBidi"/>
              </w:rPr>
              <w:t>Extensions and Appeals</w:t>
            </w:r>
          </w:p>
        </w:tc>
        <w:tc>
          <w:tcPr>
            <w:tcW w:w="720" w:type="dxa"/>
          </w:tcPr>
          <w:p w14:paraId="3DA6C196" w14:textId="3BC548EE" w:rsidR="001E7FB5" w:rsidRPr="00E56C47" w:rsidRDefault="001E7FB5" w:rsidP="004D3B01">
            <w:pPr>
              <w:spacing w:line="360" w:lineRule="auto"/>
              <w:rPr>
                <w:rFonts w:asciiTheme="majorBidi" w:hAnsiTheme="majorBidi" w:cstheme="majorBidi"/>
                <w:color w:val="EE0000"/>
              </w:rPr>
            </w:pPr>
            <w:r w:rsidRPr="00E56C47">
              <w:rPr>
                <w:rFonts w:asciiTheme="majorBidi" w:hAnsiTheme="majorBidi" w:cstheme="majorBidi"/>
              </w:rPr>
              <w:t>20-1</w:t>
            </w:r>
          </w:p>
        </w:tc>
        <w:tc>
          <w:tcPr>
            <w:tcW w:w="540" w:type="dxa"/>
          </w:tcPr>
          <w:p w14:paraId="415D6ABD" w14:textId="66404C24" w:rsidR="001E7FB5" w:rsidRPr="00E56C47" w:rsidRDefault="001E7FB5" w:rsidP="004D3B01">
            <w:pPr>
              <w:spacing w:line="360" w:lineRule="auto"/>
              <w:rPr>
                <w:rFonts w:asciiTheme="majorBidi" w:hAnsiTheme="majorBidi" w:cstheme="majorBidi"/>
              </w:rPr>
            </w:pPr>
            <w:r w:rsidRPr="00E56C47">
              <w:rPr>
                <w:rFonts w:asciiTheme="majorBidi" w:hAnsiTheme="majorBidi" w:cstheme="majorBidi"/>
              </w:rPr>
              <w:t>(a)</w:t>
            </w:r>
          </w:p>
        </w:tc>
        <w:tc>
          <w:tcPr>
            <w:tcW w:w="5485" w:type="dxa"/>
            <w:gridSpan w:val="2"/>
          </w:tcPr>
          <w:p w14:paraId="7414E33B" w14:textId="2A9CE29E" w:rsidR="001E7FB5" w:rsidRPr="00AA507C" w:rsidRDefault="001E7FB5" w:rsidP="008C6359">
            <w:pPr>
              <w:spacing w:line="360" w:lineRule="auto"/>
              <w:jc w:val="both"/>
              <w:rPr>
                <w:rFonts w:asciiTheme="majorBidi" w:hAnsiTheme="majorBidi" w:cstheme="majorBidi"/>
                <w:lang w:bidi="dv-MV"/>
              </w:rPr>
            </w:pPr>
            <w:r w:rsidRPr="008C6359">
              <w:rPr>
                <w:rFonts w:asciiTheme="majorBidi" w:hAnsiTheme="majorBidi" w:cstheme="majorBidi"/>
                <w:lang w:bidi="dv-MV"/>
              </w:rPr>
              <w:t xml:space="preserve">Issuers of securities </w:t>
            </w:r>
            <w:r>
              <w:rPr>
                <w:rFonts w:asciiTheme="majorBidi" w:hAnsiTheme="majorBidi" w:cs="MV Boli"/>
                <w:lang w:bidi="dv-MV"/>
              </w:rPr>
              <w:t>shall</w:t>
            </w:r>
            <w:r>
              <w:rPr>
                <w:rFonts w:asciiTheme="majorBidi" w:hAnsiTheme="majorBidi" w:cstheme="majorBidi"/>
                <w:lang w:bidi="dv-MV"/>
              </w:rPr>
              <w:t xml:space="preserve"> apply </w:t>
            </w:r>
            <w:r w:rsidRPr="008C6359">
              <w:rPr>
                <w:rFonts w:asciiTheme="majorBidi" w:hAnsiTheme="majorBidi" w:cstheme="majorBidi"/>
                <w:lang w:bidi="dv-MV"/>
              </w:rPr>
              <w:t>to the Stock Exchange for an extension to hold the Annual General Meeting and to publish the Annual Report, in accordance with the rules issued by the Stock Exchange. Such requests shall be submitted no later than fifteen (15) days prior to the applicable deadline under the listing rules.</w:t>
            </w:r>
          </w:p>
        </w:tc>
      </w:tr>
      <w:tr w:rsidR="001E7FB5" w:rsidRPr="00E56C47" w14:paraId="1A5A9102" w14:textId="77777777" w:rsidTr="007E2023">
        <w:tc>
          <w:tcPr>
            <w:tcW w:w="535" w:type="dxa"/>
          </w:tcPr>
          <w:p w14:paraId="4DD6BFA3" w14:textId="77777777" w:rsidR="001E7FB5" w:rsidRPr="00E56C47" w:rsidRDefault="001E7FB5" w:rsidP="004D3B01">
            <w:pPr>
              <w:spacing w:line="360" w:lineRule="auto"/>
              <w:rPr>
                <w:rFonts w:asciiTheme="majorBidi" w:hAnsiTheme="majorBidi" w:cstheme="majorBidi"/>
              </w:rPr>
            </w:pPr>
          </w:p>
        </w:tc>
        <w:tc>
          <w:tcPr>
            <w:tcW w:w="2070" w:type="dxa"/>
          </w:tcPr>
          <w:p w14:paraId="5CF54EBE" w14:textId="2313E8CD" w:rsidR="001E7FB5" w:rsidRPr="00E56C47" w:rsidRDefault="001E7FB5" w:rsidP="004D3B01">
            <w:pPr>
              <w:spacing w:line="360" w:lineRule="auto"/>
              <w:rPr>
                <w:rFonts w:asciiTheme="majorBidi" w:hAnsiTheme="majorBidi" w:cstheme="majorBidi"/>
              </w:rPr>
            </w:pPr>
          </w:p>
        </w:tc>
        <w:tc>
          <w:tcPr>
            <w:tcW w:w="720" w:type="dxa"/>
          </w:tcPr>
          <w:p w14:paraId="49DABB85" w14:textId="77777777" w:rsidR="001E7FB5" w:rsidRPr="00E56C47" w:rsidRDefault="001E7FB5" w:rsidP="004D3B01">
            <w:pPr>
              <w:spacing w:line="360" w:lineRule="auto"/>
              <w:rPr>
                <w:rFonts w:asciiTheme="majorBidi" w:hAnsiTheme="majorBidi" w:cstheme="majorBidi"/>
              </w:rPr>
            </w:pPr>
          </w:p>
        </w:tc>
        <w:tc>
          <w:tcPr>
            <w:tcW w:w="540" w:type="dxa"/>
          </w:tcPr>
          <w:p w14:paraId="6758B7C1" w14:textId="4314D237" w:rsidR="001E7FB5" w:rsidRPr="00E56C47" w:rsidRDefault="001E7FB5" w:rsidP="004D3B01">
            <w:pPr>
              <w:spacing w:line="360" w:lineRule="auto"/>
              <w:rPr>
                <w:rFonts w:asciiTheme="majorBidi" w:hAnsiTheme="majorBidi" w:cstheme="majorBidi"/>
              </w:rPr>
            </w:pPr>
            <w:r w:rsidRPr="00E56C47">
              <w:rPr>
                <w:rFonts w:asciiTheme="majorBidi" w:hAnsiTheme="majorBidi" w:cstheme="majorBidi"/>
              </w:rPr>
              <w:t>(b)</w:t>
            </w:r>
          </w:p>
        </w:tc>
        <w:tc>
          <w:tcPr>
            <w:tcW w:w="5485" w:type="dxa"/>
            <w:gridSpan w:val="2"/>
          </w:tcPr>
          <w:p w14:paraId="5AC03267" w14:textId="29A18FD4" w:rsidR="001E7FB5" w:rsidRPr="007021AF" w:rsidRDefault="001E7FB5" w:rsidP="007021AF">
            <w:pPr>
              <w:spacing w:line="360" w:lineRule="auto"/>
              <w:jc w:val="both"/>
              <w:rPr>
                <w:rFonts w:asciiTheme="majorBidi" w:hAnsiTheme="majorBidi" w:cstheme="majorBidi"/>
              </w:rPr>
            </w:pPr>
            <w:r w:rsidRPr="007021AF">
              <w:rPr>
                <w:rFonts w:asciiTheme="majorBidi" w:hAnsiTheme="majorBidi" w:cstheme="majorBidi"/>
              </w:rPr>
              <w:t>Issuers may appeal</w:t>
            </w:r>
            <w:r w:rsidR="00797E7C">
              <w:rPr>
                <w:rFonts w:asciiTheme="majorBidi" w:hAnsiTheme="majorBidi" w:cstheme="majorBidi"/>
              </w:rPr>
              <w:t xml:space="preserve"> to the Authority </w:t>
            </w:r>
            <w:r w:rsidRPr="007021AF">
              <w:rPr>
                <w:rFonts w:asciiTheme="majorBidi" w:hAnsiTheme="majorBidi" w:cstheme="majorBidi"/>
              </w:rPr>
              <w:t>against a decision of the Stock Exchange made under subsection (a), provided that such appeals are subject to the following conditions:</w:t>
            </w:r>
          </w:p>
        </w:tc>
      </w:tr>
      <w:tr w:rsidR="004D3B01" w:rsidRPr="00E56C47" w14:paraId="51659CFF" w14:textId="77777777" w:rsidTr="00AA507C">
        <w:tc>
          <w:tcPr>
            <w:tcW w:w="535" w:type="dxa"/>
          </w:tcPr>
          <w:p w14:paraId="2A77C49D" w14:textId="77777777" w:rsidR="004D3B01" w:rsidRPr="00E56C47" w:rsidRDefault="004D3B01" w:rsidP="004D3B01">
            <w:pPr>
              <w:spacing w:line="360" w:lineRule="auto"/>
              <w:rPr>
                <w:rFonts w:asciiTheme="majorBidi" w:hAnsiTheme="majorBidi" w:cstheme="majorBidi"/>
              </w:rPr>
            </w:pPr>
          </w:p>
        </w:tc>
        <w:tc>
          <w:tcPr>
            <w:tcW w:w="2070" w:type="dxa"/>
          </w:tcPr>
          <w:p w14:paraId="14C5E703" w14:textId="4282AEC6" w:rsidR="004D3B01" w:rsidRPr="00E56C47" w:rsidRDefault="004D3B01" w:rsidP="004D3B01">
            <w:pPr>
              <w:spacing w:line="360" w:lineRule="auto"/>
              <w:rPr>
                <w:rFonts w:asciiTheme="majorBidi" w:hAnsiTheme="majorBidi" w:cstheme="majorBidi"/>
              </w:rPr>
            </w:pPr>
          </w:p>
        </w:tc>
        <w:tc>
          <w:tcPr>
            <w:tcW w:w="720" w:type="dxa"/>
          </w:tcPr>
          <w:p w14:paraId="073C2A4C" w14:textId="77777777" w:rsidR="004D3B01" w:rsidRPr="00E56C47" w:rsidRDefault="004D3B01" w:rsidP="004D3B01">
            <w:pPr>
              <w:spacing w:line="360" w:lineRule="auto"/>
              <w:rPr>
                <w:rFonts w:asciiTheme="majorBidi" w:hAnsiTheme="majorBidi" w:cstheme="majorBidi"/>
              </w:rPr>
            </w:pPr>
          </w:p>
        </w:tc>
        <w:tc>
          <w:tcPr>
            <w:tcW w:w="540" w:type="dxa"/>
          </w:tcPr>
          <w:p w14:paraId="2A2F4EAC" w14:textId="77777777" w:rsidR="004D3B01" w:rsidRPr="00E56C47" w:rsidRDefault="004D3B01" w:rsidP="004D3B01">
            <w:pPr>
              <w:spacing w:line="360" w:lineRule="auto"/>
              <w:rPr>
                <w:rFonts w:asciiTheme="majorBidi" w:hAnsiTheme="majorBidi" w:cstheme="majorBidi"/>
              </w:rPr>
            </w:pPr>
          </w:p>
        </w:tc>
        <w:tc>
          <w:tcPr>
            <w:tcW w:w="540" w:type="dxa"/>
          </w:tcPr>
          <w:p w14:paraId="73E9E4A3" w14:textId="656E0D69" w:rsidR="004D3B01" w:rsidRPr="00E56C47" w:rsidRDefault="004D3B01" w:rsidP="004D3B01">
            <w:pPr>
              <w:spacing w:line="360" w:lineRule="auto"/>
              <w:rPr>
                <w:rFonts w:asciiTheme="majorBidi" w:hAnsiTheme="majorBidi" w:cstheme="majorBidi"/>
              </w:rPr>
            </w:pPr>
            <w:r w:rsidRPr="00E56C47">
              <w:rPr>
                <w:rFonts w:asciiTheme="majorBidi" w:hAnsiTheme="majorBidi" w:cstheme="majorBidi"/>
              </w:rPr>
              <w:t>(1)</w:t>
            </w:r>
          </w:p>
        </w:tc>
        <w:tc>
          <w:tcPr>
            <w:tcW w:w="4945" w:type="dxa"/>
          </w:tcPr>
          <w:p w14:paraId="6EF53E58" w14:textId="26B95C31" w:rsidR="004D3B01" w:rsidRPr="00E56C47" w:rsidRDefault="004D3B01" w:rsidP="007021AF">
            <w:pPr>
              <w:spacing w:line="360" w:lineRule="auto"/>
              <w:jc w:val="both"/>
              <w:rPr>
                <w:rFonts w:asciiTheme="majorBidi" w:hAnsiTheme="majorBidi" w:cstheme="majorBidi"/>
              </w:rPr>
            </w:pPr>
            <w:r w:rsidRPr="00E56C47">
              <w:rPr>
                <w:rFonts w:asciiTheme="majorBidi" w:hAnsiTheme="majorBidi" w:cstheme="majorBidi"/>
              </w:rPr>
              <w:t>The exchange’s decision involves systemic, legal, procedural</w:t>
            </w:r>
            <w:r w:rsidR="00D75BE1">
              <w:rPr>
                <w:rFonts w:asciiTheme="majorBidi" w:hAnsiTheme="majorBidi" w:cstheme="majorBidi"/>
              </w:rPr>
              <w:t>, and</w:t>
            </w:r>
            <w:r w:rsidRPr="00E56C47">
              <w:rPr>
                <w:rFonts w:asciiTheme="majorBidi" w:hAnsiTheme="majorBidi" w:cstheme="majorBidi"/>
              </w:rPr>
              <w:t xml:space="preserve"> regulatory violations or risks.</w:t>
            </w:r>
          </w:p>
        </w:tc>
      </w:tr>
      <w:tr w:rsidR="004D3B01" w:rsidRPr="00E56C47" w14:paraId="6FB2EED4" w14:textId="77777777" w:rsidTr="00AA507C">
        <w:tc>
          <w:tcPr>
            <w:tcW w:w="535" w:type="dxa"/>
          </w:tcPr>
          <w:p w14:paraId="58E73AA6" w14:textId="77777777" w:rsidR="004D3B01" w:rsidRPr="00E56C47" w:rsidRDefault="004D3B01" w:rsidP="004D3B01">
            <w:pPr>
              <w:spacing w:line="360" w:lineRule="auto"/>
              <w:rPr>
                <w:rFonts w:asciiTheme="majorBidi" w:hAnsiTheme="majorBidi" w:cstheme="majorBidi"/>
              </w:rPr>
            </w:pPr>
          </w:p>
        </w:tc>
        <w:tc>
          <w:tcPr>
            <w:tcW w:w="2070" w:type="dxa"/>
          </w:tcPr>
          <w:p w14:paraId="61E51690" w14:textId="4FBE76FA" w:rsidR="004D3B01" w:rsidRPr="00E56C47" w:rsidRDefault="004D3B01" w:rsidP="004D3B01">
            <w:pPr>
              <w:spacing w:line="360" w:lineRule="auto"/>
              <w:rPr>
                <w:rFonts w:asciiTheme="majorBidi" w:hAnsiTheme="majorBidi" w:cstheme="majorBidi"/>
              </w:rPr>
            </w:pPr>
          </w:p>
        </w:tc>
        <w:tc>
          <w:tcPr>
            <w:tcW w:w="720" w:type="dxa"/>
          </w:tcPr>
          <w:p w14:paraId="2C9F7359" w14:textId="77777777" w:rsidR="004D3B01" w:rsidRPr="00E56C47" w:rsidRDefault="004D3B01" w:rsidP="004D3B01">
            <w:pPr>
              <w:spacing w:line="360" w:lineRule="auto"/>
              <w:rPr>
                <w:rFonts w:asciiTheme="majorBidi" w:hAnsiTheme="majorBidi" w:cstheme="majorBidi"/>
              </w:rPr>
            </w:pPr>
          </w:p>
        </w:tc>
        <w:tc>
          <w:tcPr>
            <w:tcW w:w="540" w:type="dxa"/>
          </w:tcPr>
          <w:p w14:paraId="7C18D96C" w14:textId="77777777" w:rsidR="004D3B01" w:rsidRPr="00E56C47" w:rsidRDefault="004D3B01" w:rsidP="004D3B01">
            <w:pPr>
              <w:spacing w:line="360" w:lineRule="auto"/>
              <w:rPr>
                <w:rFonts w:asciiTheme="majorBidi" w:hAnsiTheme="majorBidi" w:cstheme="majorBidi"/>
              </w:rPr>
            </w:pPr>
          </w:p>
        </w:tc>
        <w:tc>
          <w:tcPr>
            <w:tcW w:w="540" w:type="dxa"/>
          </w:tcPr>
          <w:p w14:paraId="6059F7FF" w14:textId="4E176357" w:rsidR="004D3B01" w:rsidRPr="00E56C47" w:rsidRDefault="004D3B01" w:rsidP="004D3B01">
            <w:pPr>
              <w:spacing w:line="360" w:lineRule="auto"/>
              <w:rPr>
                <w:rFonts w:asciiTheme="majorBidi" w:hAnsiTheme="majorBidi" w:cstheme="majorBidi"/>
              </w:rPr>
            </w:pPr>
            <w:r w:rsidRPr="00E56C47">
              <w:rPr>
                <w:rFonts w:asciiTheme="majorBidi" w:hAnsiTheme="majorBidi" w:cstheme="majorBidi"/>
              </w:rPr>
              <w:t>(2)</w:t>
            </w:r>
          </w:p>
        </w:tc>
        <w:tc>
          <w:tcPr>
            <w:tcW w:w="4945" w:type="dxa"/>
          </w:tcPr>
          <w:p w14:paraId="768BE3E6" w14:textId="5A83E7FA" w:rsidR="004D3B01" w:rsidRPr="00E56C47" w:rsidRDefault="004D3B01" w:rsidP="007021AF">
            <w:pPr>
              <w:spacing w:line="360" w:lineRule="auto"/>
              <w:jc w:val="both"/>
              <w:rPr>
                <w:rFonts w:asciiTheme="majorBidi" w:hAnsiTheme="majorBidi" w:cstheme="majorBidi"/>
              </w:rPr>
            </w:pPr>
            <w:r w:rsidRPr="00E56C47">
              <w:rPr>
                <w:rFonts w:asciiTheme="majorBidi" w:hAnsiTheme="majorBidi" w:cstheme="majorBidi"/>
              </w:rPr>
              <w:t>Where the decision of the exchange is inconsistent with, contravenes, or otherwise breaches any statutory obligation, rule, regulation, directive, or requirement issued by the Authority</w:t>
            </w:r>
          </w:p>
        </w:tc>
      </w:tr>
      <w:tr w:rsidR="004D3B01" w:rsidRPr="00E56C47" w14:paraId="34CBA18D" w14:textId="77777777" w:rsidTr="00AA507C">
        <w:tc>
          <w:tcPr>
            <w:tcW w:w="535" w:type="dxa"/>
          </w:tcPr>
          <w:p w14:paraId="59E42312" w14:textId="77777777" w:rsidR="004D3B01" w:rsidRPr="00E56C47" w:rsidRDefault="004D3B01" w:rsidP="004D3B01">
            <w:pPr>
              <w:spacing w:line="360" w:lineRule="auto"/>
              <w:rPr>
                <w:rFonts w:asciiTheme="majorBidi" w:hAnsiTheme="majorBidi" w:cstheme="majorBidi"/>
              </w:rPr>
            </w:pPr>
          </w:p>
        </w:tc>
        <w:tc>
          <w:tcPr>
            <w:tcW w:w="2070" w:type="dxa"/>
          </w:tcPr>
          <w:p w14:paraId="4244B32F" w14:textId="39C1C660" w:rsidR="004D3B01" w:rsidRPr="00E56C47" w:rsidRDefault="004D3B01" w:rsidP="004D3B01">
            <w:pPr>
              <w:spacing w:line="360" w:lineRule="auto"/>
              <w:rPr>
                <w:rFonts w:asciiTheme="majorBidi" w:hAnsiTheme="majorBidi" w:cstheme="majorBidi"/>
              </w:rPr>
            </w:pPr>
          </w:p>
        </w:tc>
        <w:tc>
          <w:tcPr>
            <w:tcW w:w="720" w:type="dxa"/>
          </w:tcPr>
          <w:p w14:paraId="609AF607" w14:textId="77777777" w:rsidR="004D3B01" w:rsidRPr="00E56C47" w:rsidRDefault="004D3B01" w:rsidP="004D3B01">
            <w:pPr>
              <w:spacing w:line="360" w:lineRule="auto"/>
              <w:rPr>
                <w:rFonts w:asciiTheme="majorBidi" w:hAnsiTheme="majorBidi" w:cstheme="majorBidi"/>
              </w:rPr>
            </w:pPr>
          </w:p>
        </w:tc>
        <w:tc>
          <w:tcPr>
            <w:tcW w:w="540" w:type="dxa"/>
          </w:tcPr>
          <w:p w14:paraId="33DD5039" w14:textId="77777777" w:rsidR="004D3B01" w:rsidRPr="00E56C47" w:rsidRDefault="004D3B01" w:rsidP="004D3B01">
            <w:pPr>
              <w:spacing w:line="360" w:lineRule="auto"/>
              <w:rPr>
                <w:rFonts w:asciiTheme="majorBidi" w:hAnsiTheme="majorBidi" w:cstheme="majorBidi"/>
              </w:rPr>
            </w:pPr>
          </w:p>
        </w:tc>
        <w:tc>
          <w:tcPr>
            <w:tcW w:w="540" w:type="dxa"/>
          </w:tcPr>
          <w:p w14:paraId="4C5B60D7" w14:textId="5F6C25BF" w:rsidR="004D3B01" w:rsidRPr="00E56C47" w:rsidRDefault="004D3B01" w:rsidP="004D3B01">
            <w:pPr>
              <w:spacing w:line="360" w:lineRule="auto"/>
              <w:rPr>
                <w:rFonts w:asciiTheme="majorBidi" w:hAnsiTheme="majorBidi" w:cstheme="majorBidi"/>
                <w:color w:val="EE0000"/>
              </w:rPr>
            </w:pPr>
            <w:r w:rsidRPr="00E56C47">
              <w:rPr>
                <w:rFonts w:asciiTheme="majorBidi" w:hAnsiTheme="majorBidi" w:cstheme="majorBidi"/>
              </w:rPr>
              <w:t>(3)</w:t>
            </w:r>
          </w:p>
        </w:tc>
        <w:tc>
          <w:tcPr>
            <w:tcW w:w="4945" w:type="dxa"/>
          </w:tcPr>
          <w:p w14:paraId="689EF28B" w14:textId="1CAFFFBF" w:rsidR="004D3B01" w:rsidRPr="00E56C47" w:rsidRDefault="004D3B01" w:rsidP="004D3B01">
            <w:pPr>
              <w:spacing w:line="360" w:lineRule="auto"/>
              <w:rPr>
                <w:rFonts w:asciiTheme="majorBidi" w:hAnsiTheme="majorBidi" w:cstheme="majorBidi"/>
              </w:rPr>
            </w:pPr>
            <w:r w:rsidRPr="00E56C47">
              <w:rPr>
                <w:rFonts w:asciiTheme="majorBidi" w:hAnsiTheme="majorBidi" w:cstheme="majorBidi"/>
              </w:rPr>
              <w:t>The exchange’s decision leads to material market consequences (e.g., suspension or delisting)</w:t>
            </w:r>
            <w:r w:rsidR="00D75BE1">
              <w:rPr>
                <w:rFonts w:asciiTheme="majorBidi" w:hAnsiTheme="majorBidi" w:cstheme="majorBidi"/>
              </w:rPr>
              <w:t>;</w:t>
            </w:r>
          </w:p>
        </w:tc>
      </w:tr>
      <w:tr w:rsidR="004D3B01" w:rsidRPr="00E56C47" w14:paraId="07A4EDA1" w14:textId="77777777" w:rsidTr="00AA507C">
        <w:tc>
          <w:tcPr>
            <w:tcW w:w="535" w:type="dxa"/>
          </w:tcPr>
          <w:p w14:paraId="5EFE00B5" w14:textId="77777777" w:rsidR="004D3B01" w:rsidRPr="00E56C47" w:rsidRDefault="004D3B01" w:rsidP="004D3B01">
            <w:pPr>
              <w:spacing w:line="360" w:lineRule="auto"/>
              <w:rPr>
                <w:rFonts w:asciiTheme="majorBidi" w:hAnsiTheme="majorBidi" w:cstheme="majorBidi"/>
              </w:rPr>
            </w:pPr>
          </w:p>
        </w:tc>
        <w:tc>
          <w:tcPr>
            <w:tcW w:w="2070" w:type="dxa"/>
          </w:tcPr>
          <w:p w14:paraId="3FEF36D4" w14:textId="20224D59" w:rsidR="004D3B01" w:rsidRPr="00E56C47" w:rsidRDefault="004D3B01" w:rsidP="004D3B01">
            <w:pPr>
              <w:spacing w:line="360" w:lineRule="auto"/>
              <w:rPr>
                <w:rFonts w:asciiTheme="majorBidi" w:hAnsiTheme="majorBidi" w:cstheme="majorBidi"/>
              </w:rPr>
            </w:pPr>
          </w:p>
        </w:tc>
        <w:tc>
          <w:tcPr>
            <w:tcW w:w="720" w:type="dxa"/>
          </w:tcPr>
          <w:p w14:paraId="571739A2" w14:textId="77777777" w:rsidR="004D3B01" w:rsidRPr="00E56C47" w:rsidRDefault="004D3B01" w:rsidP="004D3B01">
            <w:pPr>
              <w:spacing w:line="360" w:lineRule="auto"/>
              <w:rPr>
                <w:rFonts w:asciiTheme="majorBidi" w:hAnsiTheme="majorBidi" w:cstheme="majorBidi"/>
              </w:rPr>
            </w:pPr>
          </w:p>
        </w:tc>
        <w:tc>
          <w:tcPr>
            <w:tcW w:w="540" w:type="dxa"/>
          </w:tcPr>
          <w:p w14:paraId="310AD4CB" w14:textId="77777777" w:rsidR="004D3B01" w:rsidRPr="00E56C47" w:rsidRDefault="004D3B01" w:rsidP="004D3B01">
            <w:pPr>
              <w:spacing w:line="360" w:lineRule="auto"/>
              <w:rPr>
                <w:rFonts w:asciiTheme="majorBidi" w:hAnsiTheme="majorBidi" w:cstheme="majorBidi"/>
              </w:rPr>
            </w:pPr>
          </w:p>
        </w:tc>
        <w:tc>
          <w:tcPr>
            <w:tcW w:w="540" w:type="dxa"/>
          </w:tcPr>
          <w:p w14:paraId="07923A87" w14:textId="29F9BB45" w:rsidR="004D3B01" w:rsidRPr="00E56C47" w:rsidRDefault="004D3B01" w:rsidP="004D3B01">
            <w:pPr>
              <w:spacing w:line="360" w:lineRule="auto"/>
              <w:rPr>
                <w:rFonts w:asciiTheme="majorBidi" w:hAnsiTheme="majorBidi" w:cstheme="majorBidi"/>
              </w:rPr>
            </w:pPr>
            <w:r w:rsidRPr="00E56C47">
              <w:rPr>
                <w:rFonts w:asciiTheme="majorBidi" w:hAnsiTheme="majorBidi" w:cstheme="majorBidi"/>
              </w:rPr>
              <w:t>(4)</w:t>
            </w:r>
          </w:p>
        </w:tc>
        <w:tc>
          <w:tcPr>
            <w:tcW w:w="4945" w:type="dxa"/>
          </w:tcPr>
          <w:p w14:paraId="0FDC0B29" w14:textId="261C09C8" w:rsidR="004D3B01" w:rsidRPr="00D75BE1" w:rsidRDefault="004D3B01" w:rsidP="004D3B01">
            <w:pPr>
              <w:spacing w:line="360" w:lineRule="auto"/>
              <w:rPr>
                <w:rFonts w:asciiTheme="majorBidi" w:hAnsiTheme="majorBidi" w:cs="MV Boli"/>
                <w:lang w:bidi="dv-MV"/>
              </w:rPr>
            </w:pPr>
            <w:r w:rsidRPr="00E56C47">
              <w:rPr>
                <w:rFonts w:asciiTheme="majorBidi" w:hAnsiTheme="majorBidi" w:cstheme="majorBidi"/>
              </w:rPr>
              <w:t>There’s a material public interest issue or investor protection concern</w:t>
            </w:r>
            <w:r w:rsidR="00D75BE1">
              <w:rPr>
                <w:rFonts w:asciiTheme="majorBidi" w:hAnsiTheme="majorBidi" w:cs="MV Boli"/>
                <w:lang w:bidi="dv-MV"/>
              </w:rPr>
              <w:t>.</w:t>
            </w:r>
          </w:p>
        </w:tc>
      </w:tr>
      <w:tr w:rsidR="00D75BE1" w:rsidRPr="00E56C47" w14:paraId="3D572E66" w14:textId="77777777" w:rsidTr="00BC3CE2">
        <w:trPr>
          <w:trHeight w:val="1412"/>
        </w:trPr>
        <w:tc>
          <w:tcPr>
            <w:tcW w:w="535" w:type="dxa"/>
          </w:tcPr>
          <w:p w14:paraId="0714FF77" w14:textId="77777777" w:rsidR="00D75BE1" w:rsidRPr="00E56C47" w:rsidRDefault="00D75BE1" w:rsidP="004D3B01">
            <w:pPr>
              <w:spacing w:line="360" w:lineRule="auto"/>
              <w:rPr>
                <w:rFonts w:asciiTheme="majorBidi" w:hAnsiTheme="majorBidi" w:cstheme="majorBidi"/>
              </w:rPr>
            </w:pPr>
          </w:p>
        </w:tc>
        <w:tc>
          <w:tcPr>
            <w:tcW w:w="2070" w:type="dxa"/>
          </w:tcPr>
          <w:p w14:paraId="5D3CE2C6" w14:textId="516E147E" w:rsidR="00D75BE1" w:rsidRPr="00E56C47" w:rsidRDefault="00D75BE1" w:rsidP="004D3B01">
            <w:pPr>
              <w:spacing w:line="360" w:lineRule="auto"/>
              <w:rPr>
                <w:rFonts w:asciiTheme="majorBidi" w:hAnsiTheme="majorBidi" w:cstheme="majorBidi"/>
              </w:rPr>
            </w:pPr>
          </w:p>
        </w:tc>
        <w:tc>
          <w:tcPr>
            <w:tcW w:w="720" w:type="dxa"/>
          </w:tcPr>
          <w:p w14:paraId="03D4A2FF" w14:textId="77777777" w:rsidR="00D75BE1" w:rsidRPr="00E56C47" w:rsidRDefault="00D75BE1" w:rsidP="004D3B01">
            <w:pPr>
              <w:spacing w:line="360" w:lineRule="auto"/>
              <w:rPr>
                <w:rFonts w:asciiTheme="majorBidi" w:hAnsiTheme="majorBidi" w:cstheme="majorBidi"/>
              </w:rPr>
            </w:pPr>
          </w:p>
        </w:tc>
        <w:tc>
          <w:tcPr>
            <w:tcW w:w="540" w:type="dxa"/>
          </w:tcPr>
          <w:p w14:paraId="0F7DB4AE" w14:textId="4D147C00" w:rsidR="00D75BE1" w:rsidRPr="00E56C47" w:rsidRDefault="00D75BE1" w:rsidP="004D3B01">
            <w:pPr>
              <w:spacing w:line="360" w:lineRule="auto"/>
              <w:rPr>
                <w:rFonts w:asciiTheme="majorBidi" w:hAnsiTheme="majorBidi" w:cstheme="majorBidi"/>
              </w:rPr>
            </w:pPr>
            <w:r w:rsidRPr="00E56C47">
              <w:rPr>
                <w:rFonts w:asciiTheme="majorBidi" w:hAnsiTheme="majorBidi" w:cstheme="majorBidi"/>
              </w:rPr>
              <w:t>(c)</w:t>
            </w:r>
          </w:p>
        </w:tc>
        <w:tc>
          <w:tcPr>
            <w:tcW w:w="5485" w:type="dxa"/>
            <w:gridSpan w:val="2"/>
          </w:tcPr>
          <w:p w14:paraId="7F56BB2A" w14:textId="40CCF431" w:rsidR="00D75BE1" w:rsidRPr="00E56C47" w:rsidRDefault="00D75BE1" w:rsidP="00D75BE1">
            <w:pPr>
              <w:spacing w:line="360" w:lineRule="auto"/>
              <w:jc w:val="both"/>
              <w:rPr>
                <w:rFonts w:asciiTheme="majorBidi" w:hAnsiTheme="majorBidi" w:cstheme="majorBidi"/>
              </w:rPr>
            </w:pPr>
            <w:r w:rsidRPr="00D75BE1">
              <w:rPr>
                <w:rFonts w:asciiTheme="majorBidi" w:hAnsiTheme="majorBidi" w:cstheme="majorBidi"/>
              </w:rPr>
              <w:t>In the event that an appeal is submitted to the Authority</w:t>
            </w:r>
            <w:r w:rsidRPr="00E56C47">
              <w:rPr>
                <w:rFonts w:asciiTheme="majorBidi" w:hAnsiTheme="majorBidi" w:cstheme="majorBidi"/>
              </w:rPr>
              <w:t>, the decision rendered by the Authority shall be considered final and binding.</w:t>
            </w:r>
          </w:p>
        </w:tc>
      </w:tr>
      <w:tr w:rsidR="00D75BE1" w:rsidRPr="00E56C47" w14:paraId="168C06BB" w14:textId="77777777" w:rsidTr="00BC3CE2">
        <w:trPr>
          <w:trHeight w:val="611"/>
        </w:trPr>
        <w:tc>
          <w:tcPr>
            <w:tcW w:w="535" w:type="dxa"/>
          </w:tcPr>
          <w:p w14:paraId="1C6E3B52" w14:textId="3D6B4B35" w:rsidR="00D75BE1" w:rsidRPr="00E56C47" w:rsidRDefault="00D75BE1" w:rsidP="004D3B01">
            <w:pPr>
              <w:spacing w:line="360" w:lineRule="auto"/>
              <w:rPr>
                <w:rFonts w:asciiTheme="majorBidi" w:hAnsiTheme="majorBidi" w:cstheme="majorBidi"/>
              </w:rPr>
            </w:pPr>
            <w:r>
              <w:rPr>
                <w:rFonts w:asciiTheme="majorBidi" w:hAnsiTheme="majorBidi" w:cstheme="majorBidi"/>
              </w:rPr>
              <w:t>8.</w:t>
            </w:r>
          </w:p>
        </w:tc>
        <w:tc>
          <w:tcPr>
            <w:tcW w:w="8815" w:type="dxa"/>
            <w:gridSpan w:val="5"/>
          </w:tcPr>
          <w:p w14:paraId="5F31DA2E" w14:textId="0BB6A471" w:rsidR="00D75BE1" w:rsidRPr="00E56C47" w:rsidRDefault="00D75BE1" w:rsidP="00D75BE1">
            <w:pPr>
              <w:spacing w:line="360" w:lineRule="auto"/>
              <w:jc w:val="both"/>
              <w:rPr>
                <w:rFonts w:asciiTheme="majorBidi" w:hAnsiTheme="majorBidi" w:cstheme="majorBidi"/>
              </w:rPr>
            </w:pPr>
            <w:r>
              <w:rPr>
                <w:rFonts w:asciiTheme="majorBidi" w:hAnsiTheme="majorBidi" w:cstheme="majorBidi"/>
              </w:rPr>
              <w:t>Schedule 2 of the said Regulations is to be removed.</w:t>
            </w:r>
          </w:p>
        </w:tc>
      </w:tr>
      <w:tr w:rsidR="00D75BE1" w:rsidRPr="00E56C47" w14:paraId="1485DD11" w14:textId="77777777" w:rsidTr="00BC3CE2">
        <w:trPr>
          <w:trHeight w:val="539"/>
        </w:trPr>
        <w:tc>
          <w:tcPr>
            <w:tcW w:w="535" w:type="dxa"/>
          </w:tcPr>
          <w:p w14:paraId="066D67E7" w14:textId="6D8DBEAE" w:rsidR="00D75BE1" w:rsidRPr="00E56C47" w:rsidRDefault="00D75BE1" w:rsidP="004D3B01">
            <w:pPr>
              <w:spacing w:line="360" w:lineRule="auto"/>
              <w:rPr>
                <w:rFonts w:asciiTheme="majorBidi" w:hAnsiTheme="majorBidi" w:cstheme="majorBidi"/>
              </w:rPr>
            </w:pPr>
            <w:r>
              <w:rPr>
                <w:rFonts w:asciiTheme="majorBidi" w:hAnsiTheme="majorBidi" w:cstheme="majorBidi"/>
              </w:rPr>
              <w:t>9.</w:t>
            </w:r>
          </w:p>
        </w:tc>
        <w:tc>
          <w:tcPr>
            <w:tcW w:w="8815" w:type="dxa"/>
            <w:gridSpan w:val="5"/>
          </w:tcPr>
          <w:p w14:paraId="542B19B3" w14:textId="49B7E31F" w:rsidR="00D75BE1" w:rsidRPr="00D75BE1" w:rsidRDefault="00D75BE1" w:rsidP="00D75BE1">
            <w:pPr>
              <w:spacing w:line="360" w:lineRule="auto"/>
              <w:rPr>
                <w:rFonts w:asciiTheme="majorBidi" w:hAnsiTheme="majorBidi" w:cstheme="majorBidi"/>
              </w:rPr>
            </w:pPr>
            <w:r w:rsidRPr="00D75BE1">
              <w:rPr>
                <w:rFonts w:asciiTheme="majorBidi" w:hAnsiTheme="majorBidi" w:cstheme="majorBidi"/>
              </w:rPr>
              <w:t>This regulation shall come into effect on the date of its publication in the Gazette.</w:t>
            </w:r>
          </w:p>
        </w:tc>
      </w:tr>
    </w:tbl>
    <w:p w14:paraId="75BE6213" w14:textId="77777777" w:rsidR="00D55DA3" w:rsidRDefault="00D55DA3" w:rsidP="006F5D3D">
      <w:pPr>
        <w:spacing w:line="360" w:lineRule="auto"/>
        <w:jc w:val="both"/>
        <w:rPr>
          <w:rFonts w:asciiTheme="majorBidi" w:hAnsiTheme="majorBidi" w:cstheme="majorBidi"/>
          <w:b/>
          <w:bCs/>
          <w:sz w:val="22"/>
          <w:szCs w:val="22"/>
        </w:rPr>
      </w:pPr>
    </w:p>
    <w:p w14:paraId="50F3B6BD" w14:textId="77777777" w:rsidR="005C34BF" w:rsidRPr="0073481E" w:rsidRDefault="005C34BF" w:rsidP="0073481E">
      <w:pPr>
        <w:spacing w:line="360" w:lineRule="auto"/>
        <w:jc w:val="both"/>
        <w:rPr>
          <w:rFonts w:asciiTheme="majorBidi" w:hAnsiTheme="majorBidi" w:cstheme="majorBidi"/>
          <w:sz w:val="22"/>
          <w:szCs w:val="22"/>
        </w:rPr>
      </w:pPr>
    </w:p>
    <w:p w14:paraId="2797C52E" w14:textId="0CA3FA38" w:rsidR="00A26D82" w:rsidRPr="0073481E" w:rsidRDefault="00A26D82" w:rsidP="0073481E">
      <w:pPr>
        <w:spacing w:line="360" w:lineRule="auto"/>
        <w:jc w:val="both"/>
        <w:rPr>
          <w:rFonts w:asciiTheme="majorBidi" w:hAnsiTheme="majorBidi" w:cstheme="majorBidi"/>
          <w:sz w:val="22"/>
          <w:szCs w:val="22"/>
        </w:rPr>
      </w:pPr>
    </w:p>
    <w:sectPr w:rsidR="00A26D82" w:rsidRPr="0073481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1282A" w14:textId="77777777" w:rsidR="00CF38C9" w:rsidRDefault="00CF38C9" w:rsidP="007653F6">
      <w:pPr>
        <w:spacing w:after="0" w:line="240" w:lineRule="auto"/>
      </w:pPr>
      <w:r>
        <w:separator/>
      </w:r>
    </w:p>
  </w:endnote>
  <w:endnote w:type="continuationSeparator" w:id="0">
    <w:p w14:paraId="1D2CAF82" w14:textId="77777777" w:rsidR="00CF38C9" w:rsidRDefault="00CF38C9" w:rsidP="0076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2264" w14:textId="77777777" w:rsidR="006B5F4F" w:rsidRDefault="006B5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379965"/>
      <w:docPartObj>
        <w:docPartGallery w:val="Page Numbers (Bottom of Page)"/>
        <w:docPartUnique/>
      </w:docPartObj>
    </w:sdtPr>
    <w:sdtEndPr>
      <w:rPr>
        <w:noProof/>
      </w:rPr>
    </w:sdtEndPr>
    <w:sdtContent>
      <w:p w14:paraId="6AA4F387" w14:textId="5ED86720" w:rsidR="00B777D8" w:rsidRDefault="00B777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6F686D" w14:textId="77777777" w:rsidR="00B777D8" w:rsidRDefault="00B777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71F2" w14:textId="77777777" w:rsidR="006B5F4F" w:rsidRDefault="006B5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900F5" w14:textId="77777777" w:rsidR="00CF38C9" w:rsidRDefault="00CF38C9" w:rsidP="007653F6">
      <w:pPr>
        <w:spacing w:after="0" w:line="240" w:lineRule="auto"/>
      </w:pPr>
      <w:r>
        <w:separator/>
      </w:r>
    </w:p>
  </w:footnote>
  <w:footnote w:type="continuationSeparator" w:id="0">
    <w:p w14:paraId="713B8667" w14:textId="77777777" w:rsidR="00CF38C9" w:rsidRDefault="00CF38C9" w:rsidP="00765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6933" w14:textId="4075E199" w:rsidR="007653F6" w:rsidRDefault="00000000">
    <w:pPr>
      <w:pStyle w:val="Header"/>
    </w:pPr>
    <w:r>
      <w:rPr>
        <w:noProof/>
      </w:rPr>
      <w:pict w14:anchorId="25837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112516" o:spid="_x0000_s1026" type="#_x0000_t136" style="position:absolute;margin-left:0;margin-top:0;width:412.4pt;height:247.4pt;rotation:315;z-index:-251655168;mso-position-horizontal:center;mso-position-horizontal-relative:margin;mso-position-vertical:center;mso-position-vertical-relative:margin" o:allowincell="f" fillcolor="#e7e6e6 [3214]"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99AD9" w14:textId="2DBB2B87" w:rsidR="00B777D8" w:rsidRPr="00B777D8" w:rsidRDefault="00000000" w:rsidP="00B777D8">
    <w:pPr>
      <w:pStyle w:val="Header"/>
      <w:rPr>
        <w:color w:val="EE0000"/>
      </w:rPr>
    </w:pPr>
    <w:r>
      <w:rPr>
        <w:noProof/>
        <w:color w:val="EE0000"/>
      </w:rPr>
      <w:pict w14:anchorId="5F1D1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112517" o:spid="_x0000_s1027" type="#_x0000_t136" style="position:absolute;margin-left:0;margin-top:0;width:412.4pt;height:247.4pt;rotation:315;z-index:-251653120;mso-position-horizontal:center;mso-position-horizontal-relative:margin;mso-position-vertical:center;mso-position-vertical-relative:margin" o:allowincell="f" fillcolor="#e7e6e6 [3214]" stroked="f">
          <v:fill opacity=".5"/>
          <v:textpath style="font-family:&quot;Calibri&quot;;font-size:1pt" string="DRAFT"/>
          <w10:wrap anchorx="margin" anchory="margin"/>
        </v:shape>
      </w:pict>
    </w:r>
    <w:r w:rsidR="00B777D8" w:rsidRPr="00B777D8">
      <w:rPr>
        <w:color w:val="EE0000"/>
      </w:rPr>
      <w:t xml:space="preserve">For Public Consultation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EEBA" w14:textId="429BAAF5" w:rsidR="007653F6" w:rsidRDefault="00000000">
    <w:pPr>
      <w:pStyle w:val="Header"/>
    </w:pPr>
    <w:r>
      <w:rPr>
        <w:noProof/>
      </w:rPr>
      <w:pict w14:anchorId="29DA9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112515" o:spid="_x0000_s1025" type="#_x0000_t136" style="position:absolute;margin-left:0;margin-top:0;width:412.4pt;height:247.4pt;rotation:315;z-index:-251657216;mso-position-horizontal:center;mso-position-horizontal-relative:margin;mso-position-vertical:center;mso-position-vertical-relative:margin" o:allowincell="f" fillcolor="#e7e6e6 [3214]"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4D8"/>
    <w:multiLevelType w:val="multilevel"/>
    <w:tmpl w:val="BB9AA026"/>
    <w:lvl w:ilvl="0">
      <w:start w:val="1"/>
      <w:numFmt w:val="decimal"/>
      <w:lvlText w:val="%1)"/>
      <w:lvlJc w:val="left"/>
      <w:pPr>
        <w:ind w:left="720" w:hanging="360"/>
      </w:pPr>
      <w:rPr>
        <w:u w:val="none"/>
      </w:rPr>
    </w:lvl>
    <w:lvl w:ilvl="1">
      <w:start w:val="1"/>
      <w:numFmt w:val="lowerLetter"/>
      <w:lvlText w:val="%2)"/>
      <w:lvlJc w:val="left"/>
      <w:pPr>
        <w:ind w:left="36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D374BE"/>
    <w:multiLevelType w:val="hybridMultilevel"/>
    <w:tmpl w:val="9E06C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23D82"/>
    <w:multiLevelType w:val="hybridMultilevel"/>
    <w:tmpl w:val="CD689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66E5B"/>
    <w:multiLevelType w:val="multilevel"/>
    <w:tmpl w:val="EF1CB99C"/>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0FAE4BC2"/>
    <w:multiLevelType w:val="multilevel"/>
    <w:tmpl w:val="EF1CB99C"/>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15:restartNumberingAfterBreak="0">
    <w:nsid w:val="10624055"/>
    <w:multiLevelType w:val="multilevel"/>
    <w:tmpl w:val="A1BEA6E0"/>
    <w:lvl w:ilvl="0">
      <w:start w:val="1"/>
      <w:numFmt w:val="decimal"/>
      <w:lvlText w:val="%1."/>
      <w:lvlJc w:val="left"/>
      <w:pPr>
        <w:ind w:left="720" w:hanging="360"/>
      </w:pPr>
      <w:rPr>
        <w:u w:val="none"/>
      </w:rPr>
    </w:lvl>
    <w:lvl w:ilvl="1">
      <w:start w:val="1"/>
      <w:numFmt w:val="lowerLetter"/>
      <w:lvlText w:val="%2."/>
      <w:lvlJc w:val="left"/>
      <w:pPr>
        <w:ind w:left="36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1773705"/>
    <w:multiLevelType w:val="multilevel"/>
    <w:tmpl w:val="0409001D"/>
    <w:lvl w:ilvl="0">
      <w:start w:val="1"/>
      <w:numFmt w:val="decimal"/>
      <w:lvlText w:val="%1)"/>
      <w:lvlJc w:val="left"/>
      <w:pPr>
        <w:ind w:left="810" w:hanging="360"/>
      </w:p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7" w15:restartNumberingAfterBreak="0">
    <w:nsid w:val="127A095E"/>
    <w:multiLevelType w:val="multilevel"/>
    <w:tmpl w:val="FD4CEE0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13F01362"/>
    <w:multiLevelType w:val="multilevel"/>
    <w:tmpl w:val="8A4023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D4C6D5F"/>
    <w:multiLevelType w:val="multilevel"/>
    <w:tmpl w:val="4330F43A"/>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10" w15:restartNumberingAfterBreak="0">
    <w:nsid w:val="2E7919F6"/>
    <w:multiLevelType w:val="multilevel"/>
    <w:tmpl w:val="8A4023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16064EE"/>
    <w:multiLevelType w:val="multilevel"/>
    <w:tmpl w:val="8E48FE84"/>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12" w15:restartNumberingAfterBreak="0">
    <w:nsid w:val="361A483D"/>
    <w:multiLevelType w:val="multilevel"/>
    <w:tmpl w:val="98800812"/>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3" w15:restartNumberingAfterBreak="0">
    <w:nsid w:val="379D4BFD"/>
    <w:multiLevelType w:val="multilevel"/>
    <w:tmpl w:val="EF1CB99C"/>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4" w15:restartNumberingAfterBreak="0">
    <w:nsid w:val="3A272075"/>
    <w:multiLevelType w:val="multilevel"/>
    <w:tmpl w:val="EF1CB99C"/>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5" w15:restartNumberingAfterBreak="0">
    <w:nsid w:val="3EAD2B50"/>
    <w:multiLevelType w:val="multilevel"/>
    <w:tmpl w:val="98800812"/>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6" w15:restartNumberingAfterBreak="0">
    <w:nsid w:val="446B78ED"/>
    <w:multiLevelType w:val="multilevel"/>
    <w:tmpl w:val="BB9AA026"/>
    <w:lvl w:ilvl="0">
      <w:start w:val="1"/>
      <w:numFmt w:val="decimal"/>
      <w:lvlText w:val="%1)"/>
      <w:lvlJc w:val="left"/>
      <w:pPr>
        <w:ind w:left="720" w:hanging="360"/>
      </w:pPr>
      <w:rPr>
        <w:u w:val="none"/>
      </w:rPr>
    </w:lvl>
    <w:lvl w:ilvl="1">
      <w:start w:val="1"/>
      <w:numFmt w:val="lowerLetter"/>
      <w:lvlText w:val="%2)"/>
      <w:lvlJc w:val="left"/>
      <w:pPr>
        <w:ind w:left="36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8D85B5A"/>
    <w:multiLevelType w:val="multilevel"/>
    <w:tmpl w:val="98800812"/>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8" w15:restartNumberingAfterBreak="0">
    <w:nsid w:val="49D53D08"/>
    <w:multiLevelType w:val="multilevel"/>
    <w:tmpl w:val="8A4023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B4E46AE"/>
    <w:multiLevelType w:val="multilevel"/>
    <w:tmpl w:val="0409001D"/>
    <w:lvl w:ilvl="0">
      <w:start w:val="1"/>
      <w:numFmt w:val="decimal"/>
      <w:lvlText w:val="%1)"/>
      <w:lvlJc w:val="left"/>
      <w:pPr>
        <w:ind w:left="810" w:hanging="360"/>
      </w:p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20" w15:restartNumberingAfterBreak="0">
    <w:nsid w:val="4D7125FA"/>
    <w:multiLevelType w:val="multilevel"/>
    <w:tmpl w:val="207A5D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4EA85B30"/>
    <w:multiLevelType w:val="hybridMultilevel"/>
    <w:tmpl w:val="B42C8FF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67A3BCF"/>
    <w:multiLevelType w:val="multilevel"/>
    <w:tmpl w:val="87BCDAA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593F7C19"/>
    <w:multiLevelType w:val="multilevel"/>
    <w:tmpl w:val="0409001D"/>
    <w:lvl w:ilvl="0">
      <w:start w:val="1"/>
      <w:numFmt w:val="decimal"/>
      <w:lvlText w:val="%1)"/>
      <w:lvlJc w:val="left"/>
      <w:pPr>
        <w:ind w:left="810" w:hanging="360"/>
      </w:p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24" w15:restartNumberingAfterBreak="0">
    <w:nsid w:val="5C4764D8"/>
    <w:multiLevelType w:val="multilevel"/>
    <w:tmpl w:val="E4F08B7A"/>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2052655"/>
    <w:multiLevelType w:val="multilevel"/>
    <w:tmpl w:val="8A4023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53A3660"/>
    <w:multiLevelType w:val="multilevel"/>
    <w:tmpl w:val="79FAF084"/>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7" w15:restartNumberingAfterBreak="0">
    <w:nsid w:val="6FC06CE5"/>
    <w:multiLevelType w:val="multilevel"/>
    <w:tmpl w:val="9B208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2310790"/>
    <w:multiLevelType w:val="multilevel"/>
    <w:tmpl w:val="98800812"/>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830029296">
    <w:abstractNumId w:val="26"/>
  </w:num>
  <w:num w:numId="2" w16cid:durableId="2003924119">
    <w:abstractNumId w:val="27"/>
  </w:num>
  <w:num w:numId="3" w16cid:durableId="745036190">
    <w:abstractNumId w:val="21"/>
  </w:num>
  <w:num w:numId="4" w16cid:durableId="1511219238">
    <w:abstractNumId w:val="20"/>
  </w:num>
  <w:num w:numId="5" w16cid:durableId="501091300">
    <w:abstractNumId w:val="25"/>
  </w:num>
  <w:num w:numId="6" w16cid:durableId="579172930">
    <w:abstractNumId w:val="28"/>
  </w:num>
  <w:num w:numId="7" w16cid:durableId="356319989">
    <w:abstractNumId w:val="3"/>
  </w:num>
  <w:num w:numId="8" w16cid:durableId="944077227">
    <w:abstractNumId w:val="11"/>
  </w:num>
  <w:num w:numId="9" w16cid:durableId="1445617041">
    <w:abstractNumId w:val="9"/>
  </w:num>
  <w:num w:numId="10" w16cid:durableId="1140607838">
    <w:abstractNumId w:val="0"/>
  </w:num>
  <w:num w:numId="11" w16cid:durableId="2084141849">
    <w:abstractNumId w:val="7"/>
  </w:num>
  <w:num w:numId="12" w16cid:durableId="1894461597">
    <w:abstractNumId w:val="16"/>
  </w:num>
  <w:num w:numId="13" w16cid:durableId="1726905874">
    <w:abstractNumId w:val="5"/>
  </w:num>
  <w:num w:numId="14" w16cid:durableId="1728987313">
    <w:abstractNumId w:val="22"/>
  </w:num>
  <w:num w:numId="15" w16cid:durableId="276521266">
    <w:abstractNumId w:val="6"/>
  </w:num>
  <w:num w:numId="16" w16cid:durableId="116603653">
    <w:abstractNumId w:val="24"/>
  </w:num>
  <w:num w:numId="17" w16cid:durableId="1188107754">
    <w:abstractNumId w:val="15"/>
  </w:num>
  <w:num w:numId="18" w16cid:durableId="1242178700">
    <w:abstractNumId w:val="17"/>
  </w:num>
  <w:num w:numId="19" w16cid:durableId="393817670">
    <w:abstractNumId w:val="12"/>
  </w:num>
  <w:num w:numId="20" w16cid:durableId="675156465">
    <w:abstractNumId w:val="4"/>
  </w:num>
  <w:num w:numId="21" w16cid:durableId="1320303190">
    <w:abstractNumId w:val="14"/>
  </w:num>
  <w:num w:numId="22" w16cid:durableId="1706127816">
    <w:abstractNumId w:val="13"/>
  </w:num>
  <w:num w:numId="23" w16cid:durableId="1114446813">
    <w:abstractNumId w:val="19"/>
  </w:num>
  <w:num w:numId="24" w16cid:durableId="798649264">
    <w:abstractNumId w:val="23"/>
  </w:num>
  <w:num w:numId="25" w16cid:durableId="817184495">
    <w:abstractNumId w:val="10"/>
  </w:num>
  <w:num w:numId="26" w16cid:durableId="1285961340">
    <w:abstractNumId w:val="8"/>
  </w:num>
  <w:num w:numId="27" w16cid:durableId="790245672">
    <w:abstractNumId w:val="18"/>
  </w:num>
  <w:num w:numId="28" w16cid:durableId="1484732648">
    <w:abstractNumId w:val="1"/>
  </w:num>
  <w:num w:numId="29" w16cid:durableId="415320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6C"/>
    <w:rsid w:val="000120D8"/>
    <w:rsid w:val="0001486A"/>
    <w:rsid w:val="00035793"/>
    <w:rsid w:val="00050DFA"/>
    <w:rsid w:val="000622C8"/>
    <w:rsid w:val="00067BFC"/>
    <w:rsid w:val="00075F01"/>
    <w:rsid w:val="00090EA0"/>
    <w:rsid w:val="00095498"/>
    <w:rsid w:val="000A30BD"/>
    <w:rsid w:val="000A555F"/>
    <w:rsid w:val="000C1F1D"/>
    <w:rsid w:val="000D3BD3"/>
    <w:rsid w:val="000E1270"/>
    <w:rsid w:val="000E5408"/>
    <w:rsid w:val="000E7AF7"/>
    <w:rsid w:val="000F1341"/>
    <w:rsid w:val="00101557"/>
    <w:rsid w:val="00101660"/>
    <w:rsid w:val="00101E13"/>
    <w:rsid w:val="00112ACD"/>
    <w:rsid w:val="00133345"/>
    <w:rsid w:val="00134DAF"/>
    <w:rsid w:val="001360A9"/>
    <w:rsid w:val="00146099"/>
    <w:rsid w:val="00151C4E"/>
    <w:rsid w:val="0016154C"/>
    <w:rsid w:val="00164D3A"/>
    <w:rsid w:val="00173E64"/>
    <w:rsid w:val="00187566"/>
    <w:rsid w:val="00187E87"/>
    <w:rsid w:val="001B15A6"/>
    <w:rsid w:val="001B16C2"/>
    <w:rsid w:val="001C2FA9"/>
    <w:rsid w:val="001C4CBB"/>
    <w:rsid w:val="001E5ADB"/>
    <w:rsid w:val="001E7FB5"/>
    <w:rsid w:val="001F0390"/>
    <w:rsid w:val="00206F1C"/>
    <w:rsid w:val="00226E7A"/>
    <w:rsid w:val="00242EBB"/>
    <w:rsid w:val="00270677"/>
    <w:rsid w:val="00277984"/>
    <w:rsid w:val="00281FF8"/>
    <w:rsid w:val="002A371B"/>
    <w:rsid w:val="002C43DB"/>
    <w:rsid w:val="002D23DB"/>
    <w:rsid w:val="002D23E9"/>
    <w:rsid w:val="002F7D9C"/>
    <w:rsid w:val="00317041"/>
    <w:rsid w:val="0032219F"/>
    <w:rsid w:val="003253D6"/>
    <w:rsid w:val="00330836"/>
    <w:rsid w:val="00334AA0"/>
    <w:rsid w:val="00337583"/>
    <w:rsid w:val="00352FB8"/>
    <w:rsid w:val="00354E2E"/>
    <w:rsid w:val="0037060A"/>
    <w:rsid w:val="00372365"/>
    <w:rsid w:val="003A26E9"/>
    <w:rsid w:val="003C4374"/>
    <w:rsid w:val="003C5547"/>
    <w:rsid w:val="003C68FF"/>
    <w:rsid w:val="003E00A8"/>
    <w:rsid w:val="00416D73"/>
    <w:rsid w:val="00431F62"/>
    <w:rsid w:val="00441563"/>
    <w:rsid w:val="00444213"/>
    <w:rsid w:val="0046251D"/>
    <w:rsid w:val="0047454F"/>
    <w:rsid w:val="0048104D"/>
    <w:rsid w:val="00492E7A"/>
    <w:rsid w:val="004A2D87"/>
    <w:rsid w:val="004C3E9A"/>
    <w:rsid w:val="004C4E70"/>
    <w:rsid w:val="004D3B01"/>
    <w:rsid w:val="004E0847"/>
    <w:rsid w:val="004E361E"/>
    <w:rsid w:val="004E60BA"/>
    <w:rsid w:val="004F17A7"/>
    <w:rsid w:val="004F497F"/>
    <w:rsid w:val="005055C6"/>
    <w:rsid w:val="00513031"/>
    <w:rsid w:val="00514A55"/>
    <w:rsid w:val="00515D3C"/>
    <w:rsid w:val="0053579F"/>
    <w:rsid w:val="00584EE7"/>
    <w:rsid w:val="00584F22"/>
    <w:rsid w:val="0059191E"/>
    <w:rsid w:val="00591A84"/>
    <w:rsid w:val="005A0F2B"/>
    <w:rsid w:val="005B6A6B"/>
    <w:rsid w:val="005C1FF4"/>
    <w:rsid w:val="005C34BF"/>
    <w:rsid w:val="005F6B29"/>
    <w:rsid w:val="005F764C"/>
    <w:rsid w:val="00600E45"/>
    <w:rsid w:val="00605ED8"/>
    <w:rsid w:val="00606801"/>
    <w:rsid w:val="00654D9A"/>
    <w:rsid w:val="00661238"/>
    <w:rsid w:val="006760E8"/>
    <w:rsid w:val="00685854"/>
    <w:rsid w:val="00694C84"/>
    <w:rsid w:val="006A2504"/>
    <w:rsid w:val="006A7FB6"/>
    <w:rsid w:val="006B5F4F"/>
    <w:rsid w:val="006D63C4"/>
    <w:rsid w:val="006D6944"/>
    <w:rsid w:val="006E35F6"/>
    <w:rsid w:val="006F3036"/>
    <w:rsid w:val="006F5D3D"/>
    <w:rsid w:val="00701D65"/>
    <w:rsid w:val="007021AF"/>
    <w:rsid w:val="007208D2"/>
    <w:rsid w:val="007307AC"/>
    <w:rsid w:val="0073481E"/>
    <w:rsid w:val="00757081"/>
    <w:rsid w:val="007653F6"/>
    <w:rsid w:val="00777CA9"/>
    <w:rsid w:val="00782160"/>
    <w:rsid w:val="00783776"/>
    <w:rsid w:val="00797E7C"/>
    <w:rsid w:val="007A44C3"/>
    <w:rsid w:val="007B43B3"/>
    <w:rsid w:val="007B4C03"/>
    <w:rsid w:val="007C09F3"/>
    <w:rsid w:val="007C5246"/>
    <w:rsid w:val="007E2B14"/>
    <w:rsid w:val="007F06DA"/>
    <w:rsid w:val="007F340B"/>
    <w:rsid w:val="00814F19"/>
    <w:rsid w:val="00851BB7"/>
    <w:rsid w:val="008850C3"/>
    <w:rsid w:val="0088691E"/>
    <w:rsid w:val="00895CC1"/>
    <w:rsid w:val="008A021B"/>
    <w:rsid w:val="008C1182"/>
    <w:rsid w:val="008C6359"/>
    <w:rsid w:val="008E7983"/>
    <w:rsid w:val="008F4B41"/>
    <w:rsid w:val="0092205A"/>
    <w:rsid w:val="00932821"/>
    <w:rsid w:val="00942034"/>
    <w:rsid w:val="0094329D"/>
    <w:rsid w:val="00951258"/>
    <w:rsid w:val="009778B0"/>
    <w:rsid w:val="009A16FE"/>
    <w:rsid w:val="009A4BA4"/>
    <w:rsid w:val="009A7FD3"/>
    <w:rsid w:val="009B2D74"/>
    <w:rsid w:val="009B5298"/>
    <w:rsid w:val="009D035C"/>
    <w:rsid w:val="009D2CE3"/>
    <w:rsid w:val="009F0D8D"/>
    <w:rsid w:val="00A011D6"/>
    <w:rsid w:val="00A02F3E"/>
    <w:rsid w:val="00A02FA1"/>
    <w:rsid w:val="00A26D82"/>
    <w:rsid w:val="00A4350B"/>
    <w:rsid w:val="00A47839"/>
    <w:rsid w:val="00A5118B"/>
    <w:rsid w:val="00A54C68"/>
    <w:rsid w:val="00A6207F"/>
    <w:rsid w:val="00A664E9"/>
    <w:rsid w:val="00A72B36"/>
    <w:rsid w:val="00A75A3A"/>
    <w:rsid w:val="00A84EEE"/>
    <w:rsid w:val="00AA410A"/>
    <w:rsid w:val="00AA507C"/>
    <w:rsid w:val="00AC774E"/>
    <w:rsid w:val="00AD1AC9"/>
    <w:rsid w:val="00AD3D1F"/>
    <w:rsid w:val="00AD5612"/>
    <w:rsid w:val="00AE3DDD"/>
    <w:rsid w:val="00AE425E"/>
    <w:rsid w:val="00AF284F"/>
    <w:rsid w:val="00AF655A"/>
    <w:rsid w:val="00B025AE"/>
    <w:rsid w:val="00B20266"/>
    <w:rsid w:val="00B22BD2"/>
    <w:rsid w:val="00B23534"/>
    <w:rsid w:val="00B3576D"/>
    <w:rsid w:val="00B60B68"/>
    <w:rsid w:val="00B777D8"/>
    <w:rsid w:val="00BA1AFD"/>
    <w:rsid w:val="00BA6EE5"/>
    <w:rsid w:val="00BC1A3F"/>
    <w:rsid w:val="00BC2384"/>
    <w:rsid w:val="00BC3CE2"/>
    <w:rsid w:val="00BD7BBA"/>
    <w:rsid w:val="00C011D8"/>
    <w:rsid w:val="00C0661D"/>
    <w:rsid w:val="00C15965"/>
    <w:rsid w:val="00C17A4D"/>
    <w:rsid w:val="00C410A5"/>
    <w:rsid w:val="00C60513"/>
    <w:rsid w:val="00C7476C"/>
    <w:rsid w:val="00C83E90"/>
    <w:rsid w:val="00C92D65"/>
    <w:rsid w:val="00C94D96"/>
    <w:rsid w:val="00CA5CFB"/>
    <w:rsid w:val="00CB1DA7"/>
    <w:rsid w:val="00CB7B7B"/>
    <w:rsid w:val="00CC6B33"/>
    <w:rsid w:val="00CE04E0"/>
    <w:rsid w:val="00CE4459"/>
    <w:rsid w:val="00CF38C9"/>
    <w:rsid w:val="00CF4D05"/>
    <w:rsid w:val="00CF7743"/>
    <w:rsid w:val="00D20454"/>
    <w:rsid w:val="00D331CD"/>
    <w:rsid w:val="00D45026"/>
    <w:rsid w:val="00D47693"/>
    <w:rsid w:val="00D501E8"/>
    <w:rsid w:val="00D55DA3"/>
    <w:rsid w:val="00D57629"/>
    <w:rsid w:val="00D60D82"/>
    <w:rsid w:val="00D66FA2"/>
    <w:rsid w:val="00D670C6"/>
    <w:rsid w:val="00D75BE1"/>
    <w:rsid w:val="00D96443"/>
    <w:rsid w:val="00D977A5"/>
    <w:rsid w:val="00DA1BE9"/>
    <w:rsid w:val="00DA4504"/>
    <w:rsid w:val="00DB383B"/>
    <w:rsid w:val="00DC5672"/>
    <w:rsid w:val="00DD6B50"/>
    <w:rsid w:val="00E12561"/>
    <w:rsid w:val="00E128D7"/>
    <w:rsid w:val="00E13575"/>
    <w:rsid w:val="00E31C2E"/>
    <w:rsid w:val="00E40059"/>
    <w:rsid w:val="00E445CA"/>
    <w:rsid w:val="00E50B91"/>
    <w:rsid w:val="00E56C47"/>
    <w:rsid w:val="00E64F87"/>
    <w:rsid w:val="00E80587"/>
    <w:rsid w:val="00E8168F"/>
    <w:rsid w:val="00E8572C"/>
    <w:rsid w:val="00E92DB6"/>
    <w:rsid w:val="00E96B6C"/>
    <w:rsid w:val="00EB2B32"/>
    <w:rsid w:val="00F21F0A"/>
    <w:rsid w:val="00F26E46"/>
    <w:rsid w:val="00F344A9"/>
    <w:rsid w:val="00F3778E"/>
    <w:rsid w:val="00F40184"/>
    <w:rsid w:val="00F42E41"/>
    <w:rsid w:val="00F47ACB"/>
    <w:rsid w:val="00F53EB4"/>
    <w:rsid w:val="00F66E36"/>
    <w:rsid w:val="00F77590"/>
    <w:rsid w:val="00F80FC9"/>
    <w:rsid w:val="00F901AF"/>
    <w:rsid w:val="00F922AD"/>
    <w:rsid w:val="00FA2417"/>
    <w:rsid w:val="00FA52AF"/>
    <w:rsid w:val="00FC70E8"/>
    <w:rsid w:val="00FE0036"/>
    <w:rsid w:val="00FF3646"/>
    <w:rsid w:val="00FF5E49"/>
    <w:rsid w:val="00FF5E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36698"/>
  <w15:chartTrackingRefBased/>
  <w15:docId w15:val="{5C39D85E-1DEA-4FFC-9932-4B3BFFCE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7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47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47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47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47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47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7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7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7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7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47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47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47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47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47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7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7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76C"/>
    <w:rPr>
      <w:rFonts w:eastAsiaTheme="majorEastAsia" w:cstheme="majorBidi"/>
      <w:color w:val="272727" w:themeColor="text1" w:themeTint="D8"/>
    </w:rPr>
  </w:style>
  <w:style w:type="paragraph" w:styleId="Title">
    <w:name w:val="Title"/>
    <w:basedOn w:val="Normal"/>
    <w:next w:val="Normal"/>
    <w:link w:val="TitleChar"/>
    <w:uiPriority w:val="10"/>
    <w:qFormat/>
    <w:rsid w:val="00C747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7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7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7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76C"/>
    <w:pPr>
      <w:spacing w:before="160"/>
      <w:jc w:val="center"/>
    </w:pPr>
    <w:rPr>
      <w:i/>
      <w:iCs/>
      <w:color w:val="404040" w:themeColor="text1" w:themeTint="BF"/>
    </w:rPr>
  </w:style>
  <w:style w:type="character" w:customStyle="1" w:styleId="QuoteChar">
    <w:name w:val="Quote Char"/>
    <w:basedOn w:val="DefaultParagraphFont"/>
    <w:link w:val="Quote"/>
    <w:uiPriority w:val="29"/>
    <w:rsid w:val="00C7476C"/>
    <w:rPr>
      <w:i/>
      <w:iCs/>
      <w:color w:val="404040" w:themeColor="text1" w:themeTint="BF"/>
    </w:rPr>
  </w:style>
  <w:style w:type="paragraph" w:styleId="ListParagraph">
    <w:name w:val="List Paragraph"/>
    <w:basedOn w:val="Normal"/>
    <w:uiPriority w:val="34"/>
    <w:qFormat/>
    <w:rsid w:val="00C7476C"/>
    <w:pPr>
      <w:ind w:left="720"/>
      <w:contextualSpacing/>
    </w:pPr>
  </w:style>
  <w:style w:type="character" w:styleId="IntenseEmphasis">
    <w:name w:val="Intense Emphasis"/>
    <w:basedOn w:val="DefaultParagraphFont"/>
    <w:uiPriority w:val="21"/>
    <w:qFormat/>
    <w:rsid w:val="00C7476C"/>
    <w:rPr>
      <w:i/>
      <w:iCs/>
      <w:color w:val="2F5496" w:themeColor="accent1" w:themeShade="BF"/>
    </w:rPr>
  </w:style>
  <w:style w:type="paragraph" w:styleId="IntenseQuote">
    <w:name w:val="Intense Quote"/>
    <w:basedOn w:val="Normal"/>
    <w:next w:val="Normal"/>
    <w:link w:val="IntenseQuoteChar"/>
    <w:uiPriority w:val="30"/>
    <w:qFormat/>
    <w:rsid w:val="00C747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476C"/>
    <w:rPr>
      <w:i/>
      <w:iCs/>
      <w:color w:val="2F5496" w:themeColor="accent1" w:themeShade="BF"/>
    </w:rPr>
  </w:style>
  <w:style w:type="character" w:styleId="IntenseReference">
    <w:name w:val="Intense Reference"/>
    <w:basedOn w:val="DefaultParagraphFont"/>
    <w:uiPriority w:val="32"/>
    <w:qFormat/>
    <w:rsid w:val="00C7476C"/>
    <w:rPr>
      <w:b/>
      <w:bCs/>
      <w:smallCaps/>
      <w:color w:val="2F5496" w:themeColor="accent1" w:themeShade="BF"/>
      <w:spacing w:val="5"/>
    </w:rPr>
  </w:style>
  <w:style w:type="table" w:styleId="TableGrid">
    <w:name w:val="Table Grid"/>
    <w:basedOn w:val="TableNormal"/>
    <w:uiPriority w:val="39"/>
    <w:rsid w:val="00C74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253D6"/>
    <w:pPr>
      <w:spacing w:after="0" w:line="240" w:lineRule="auto"/>
    </w:pPr>
  </w:style>
  <w:style w:type="character" w:styleId="CommentReference">
    <w:name w:val="annotation reference"/>
    <w:basedOn w:val="DefaultParagraphFont"/>
    <w:uiPriority w:val="99"/>
    <w:semiHidden/>
    <w:unhideWhenUsed/>
    <w:rsid w:val="00441563"/>
    <w:rPr>
      <w:sz w:val="16"/>
      <w:szCs w:val="16"/>
    </w:rPr>
  </w:style>
  <w:style w:type="paragraph" w:styleId="CommentText">
    <w:name w:val="annotation text"/>
    <w:basedOn w:val="Normal"/>
    <w:link w:val="CommentTextChar"/>
    <w:uiPriority w:val="99"/>
    <w:semiHidden/>
    <w:unhideWhenUsed/>
    <w:rsid w:val="00441563"/>
    <w:pPr>
      <w:spacing w:line="240" w:lineRule="auto"/>
    </w:pPr>
    <w:rPr>
      <w:sz w:val="20"/>
      <w:szCs w:val="20"/>
    </w:rPr>
  </w:style>
  <w:style w:type="character" w:customStyle="1" w:styleId="CommentTextChar">
    <w:name w:val="Comment Text Char"/>
    <w:basedOn w:val="DefaultParagraphFont"/>
    <w:link w:val="CommentText"/>
    <w:uiPriority w:val="99"/>
    <w:semiHidden/>
    <w:rsid w:val="00441563"/>
    <w:rPr>
      <w:sz w:val="20"/>
      <w:szCs w:val="20"/>
    </w:rPr>
  </w:style>
  <w:style w:type="paragraph" w:styleId="CommentSubject">
    <w:name w:val="annotation subject"/>
    <w:basedOn w:val="CommentText"/>
    <w:next w:val="CommentText"/>
    <w:link w:val="CommentSubjectChar"/>
    <w:uiPriority w:val="99"/>
    <w:semiHidden/>
    <w:unhideWhenUsed/>
    <w:rsid w:val="00441563"/>
    <w:rPr>
      <w:b/>
      <w:bCs/>
    </w:rPr>
  </w:style>
  <w:style w:type="character" w:customStyle="1" w:styleId="CommentSubjectChar">
    <w:name w:val="Comment Subject Char"/>
    <w:basedOn w:val="CommentTextChar"/>
    <w:link w:val="CommentSubject"/>
    <w:uiPriority w:val="99"/>
    <w:semiHidden/>
    <w:rsid w:val="00441563"/>
    <w:rPr>
      <w:b/>
      <w:bCs/>
      <w:sz w:val="20"/>
      <w:szCs w:val="20"/>
    </w:rPr>
  </w:style>
  <w:style w:type="paragraph" w:styleId="Header">
    <w:name w:val="header"/>
    <w:basedOn w:val="Normal"/>
    <w:link w:val="HeaderChar"/>
    <w:uiPriority w:val="99"/>
    <w:unhideWhenUsed/>
    <w:rsid w:val="0076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3F6"/>
  </w:style>
  <w:style w:type="paragraph" w:styleId="Footer">
    <w:name w:val="footer"/>
    <w:basedOn w:val="Normal"/>
    <w:link w:val="FooterChar"/>
    <w:uiPriority w:val="99"/>
    <w:unhideWhenUsed/>
    <w:rsid w:val="0076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C6504-DEB5-46F0-A5FA-5B5F9E41F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3</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Arushadh</dc:creator>
  <cp:keywords/>
  <dc:description/>
  <cp:lastModifiedBy>Fathimath Najudha</cp:lastModifiedBy>
  <cp:revision>5</cp:revision>
  <dcterms:created xsi:type="dcterms:W3CDTF">2025-10-20T08:33:00Z</dcterms:created>
  <dcterms:modified xsi:type="dcterms:W3CDTF">2026-02-19T06:19:00Z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705ab17d-c073-4fbb-8456-ffa749e47bae</vt:lpwstr>
  </property>
</Properties>
</file>