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XSpec="center" w:tblpY="375"/>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535"/>
        <w:gridCol w:w="488"/>
        <w:gridCol w:w="592"/>
        <w:gridCol w:w="6308"/>
      </w:tblGrid>
      <w:tr w:rsidR="002E43D9" w14:paraId="58E4BA2F" w14:textId="77777777" w:rsidTr="002E43D9">
        <w:trPr>
          <w:trHeight w:val="350"/>
        </w:trPr>
        <w:tc>
          <w:tcPr>
            <w:tcW w:w="10803" w:type="dxa"/>
            <w:gridSpan w:val="5"/>
          </w:tcPr>
          <w:p w14:paraId="366B830C" w14:textId="4A8A4DCF" w:rsidR="002E43D9" w:rsidRPr="00977364" w:rsidRDefault="006C7AD9" w:rsidP="002E43D9">
            <w:pPr>
              <w:jc w:val="center"/>
              <w:rPr>
                <w:b/>
                <w:sz w:val="32"/>
                <w:szCs w:val="32"/>
              </w:rPr>
            </w:pPr>
            <w:r w:rsidRPr="00977364">
              <w:rPr>
                <w:b/>
                <w:sz w:val="32"/>
                <w:szCs w:val="32"/>
              </w:rPr>
              <w:t xml:space="preserve">Securities </w:t>
            </w:r>
            <w:r w:rsidR="002E43D9" w:rsidRPr="00977364">
              <w:rPr>
                <w:b/>
                <w:sz w:val="32"/>
                <w:szCs w:val="32"/>
              </w:rPr>
              <w:t>Virtual Asset Service Providers Regulation</w:t>
            </w:r>
          </w:p>
          <w:p w14:paraId="1737F5FD" w14:textId="77777777" w:rsidR="0010788B" w:rsidRDefault="0010788B" w:rsidP="002E43D9">
            <w:pPr>
              <w:jc w:val="center"/>
              <w:rPr>
                <w:b/>
                <w:sz w:val="28"/>
                <w:szCs w:val="28"/>
              </w:rPr>
            </w:pPr>
          </w:p>
        </w:tc>
      </w:tr>
      <w:tr w:rsidR="002E43D9" w14:paraId="552C750A" w14:textId="77777777" w:rsidTr="002E43D9">
        <w:trPr>
          <w:trHeight w:val="350"/>
        </w:trPr>
        <w:tc>
          <w:tcPr>
            <w:tcW w:w="10803" w:type="dxa"/>
            <w:gridSpan w:val="5"/>
          </w:tcPr>
          <w:p w14:paraId="03B49F48" w14:textId="0CBC2B98" w:rsidR="002E43D9" w:rsidRDefault="002E43D9" w:rsidP="002E43D9">
            <w:pPr>
              <w:jc w:val="center"/>
              <w:rPr>
                <w:b/>
                <w:sz w:val="28"/>
                <w:szCs w:val="28"/>
              </w:rPr>
            </w:pPr>
            <w:r>
              <w:rPr>
                <w:b/>
                <w:sz w:val="28"/>
                <w:szCs w:val="28"/>
              </w:rPr>
              <w:t>Chapter 1</w:t>
            </w:r>
            <w:r w:rsidRPr="00D1040B">
              <w:rPr>
                <w:b/>
                <w:color w:val="000000" w:themeColor="text1"/>
                <w:sz w:val="28"/>
                <w:szCs w:val="28"/>
              </w:rPr>
              <w:t xml:space="preserve">: </w:t>
            </w:r>
            <w:r w:rsidR="00F378CA" w:rsidRPr="00D1040B">
              <w:rPr>
                <w:b/>
                <w:color w:val="000000" w:themeColor="text1"/>
                <w:sz w:val="28"/>
                <w:szCs w:val="28"/>
              </w:rPr>
              <w:t xml:space="preserve">Preamble </w:t>
            </w:r>
          </w:p>
          <w:p w14:paraId="59C77DA8" w14:textId="65EF796B" w:rsidR="005C7394" w:rsidRDefault="005C7394" w:rsidP="002E43D9">
            <w:pPr>
              <w:jc w:val="center"/>
              <w:rPr>
                <w:b/>
                <w:sz w:val="28"/>
                <w:szCs w:val="28"/>
              </w:rPr>
            </w:pPr>
          </w:p>
        </w:tc>
      </w:tr>
      <w:tr w:rsidR="002E43D9" w14:paraId="1781EFAF" w14:textId="77777777" w:rsidTr="002E43D9">
        <w:trPr>
          <w:trHeight w:val="289"/>
        </w:trPr>
        <w:tc>
          <w:tcPr>
            <w:tcW w:w="2880" w:type="dxa"/>
          </w:tcPr>
          <w:p w14:paraId="2592E6C3" w14:textId="77777777" w:rsidR="002E43D9" w:rsidRDefault="002E43D9" w:rsidP="002E43D9">
            <w:r>
              <w:rPr>
                <w:b/>
              </w:rPr>
              <w:t xml:space="preserve">Short Title </w:t>
            </w:r>
          </w:p>
        </w:tc>
        <w:tc>
          <w:tcPr>
            <w:tcW w:w="535" w:type="dxa"/>
          </w:tcPr>
          <w:p w14:paraId="0FAB906C" w14:textId="77777777" w:rsidR="002E43D9" w:rsidRDefault="002E43D9" w:rsidP="002E43D9">
            <w:r>
              <w:t xml:space="preserve">1. </w:t>
            </w:r>
          </w:p>
        </w:tc>
        <w:tc>
          <w:tcPr>
            <w:tcW w:w="488" w:type="dxa"/>
          </w:tcPr>
          <w:p w14:paraId="43D040F2" w14:textId="77777777" w:rsidR="002E43D9" w:rsidRDefault="002E43D9" w:rsidP="002E43D9">
            <w:pPr>
              <w:jc w:val="center"/>
            </w:pPr>
          </w:p>
        </w:tc>
        <w:tc>
          <w:tcPr>
            <w:tcW w:w="592" w:type="dxa"/>
          </w:tcPr>
          <w:p w14:paraId="27586938" w14:textId="77777777" w:rsidR="002E43D9" w:rsidRDefault="002E43D9" w:rsidP="002E43D9">
            <w:pPr>
              <w:jc w:val="center"/>
            </w:pPr>
          </w:p>
        </w:tc>
        <w:tc>
          <w:tcPr>
            <w:tcW w:w="6308" w:type="dxa"/>
          </w:tcPr>
          <w:p w14:paraId="05C95301" w14:textId="102F63DD" w:rsidR="002E43D9" w:rsidRDefault="002E43D9" w:rsidP="00283DD3">
            <w:pPr>
              <w:spacing w:after="160" w:line="278" w:lineRule="auto"/>
              <w:jc w:val="both"/>
            </w:pPr>
            <w:r>
              <w:t>This regulation shall be known as the "</w:t>
            </w:r>
            <w:r w:rsidR="005C7394">
              <w:t xml:space="preserve">Securities </w:t>
            </w:r>
            <w:r>
              <w:t xml:space="preserve">Virtual Asset Service Providers Regulation". </w:t>
            </w:r>
            <w:r w:rsidR="00036D9B">
              <w:t xml:space="preserve"> </w:t>
            </w:r>
          </w:p>
        </w:tc>
      </w:tr>
      <w:tr w:rsidR="002E43D9" w14:paraId="309D53C3" w14:textId="77777777" w:rsidTr="002E43D9">
        <w:trPr>
          <w:trHeight w:val="289"/>
        </w:trPr>
        <w:tc>
          <w:tcPr>
            <w:tcW w:w="2880" w:type="dxa"/>
          </w:tcPr>
          <w:p w14:paraId="6ED4C764" w14:textId="77777777" w:rsidR="002E43D9" w:rsidRDefault="002E43D9" w:rsidP="002E43D9">
            <w:pPr>
              <w:rPr>
                <w:b/>
              </w:rPr>
            </w:pPr>
            <w:r>
              <w:rPr>
                <w:b/>
              </w:rPr>
              <w:t xml:space="preserve">Definitions </w:t>
            </w:r>
          </w:p>
        </w:tc>
        <w:tc>
          <w:tcPr>
            <w:tcW w:w="535" w:type="dxa"/>
          </w:tcPr>
          <w:p w14:paraId="73F237B8" w14:textId="77777777" w:rsidR="002E43D9" w:rsidRDefault="002E43D9" w:rsidP="002E43D9">
            <w:r>
              <w:t>2.</w:t>
            </w:r>
          </w:p>
        </w:tc>
        <w:tc>
          <w:tcPr>
            <w:tcW w:w="488" w:type="dxa"/>
          </w:tcPr>
          <w:p w14:paraId="2E50795E" w14:textId="77777777" w:rsidR="002E43D9" w:rsidRDefault="002E43D9" w:rsidP="002E43D9">
            <w:pPr>
              <w:jc w:val="center"/>
            </w:pPr>
            <w:r>
              <w:t>(a)</w:t>
            </w:r>
          </w:p>
        </w:tc>
        <w:tc>
          <w:tcPr>
            <w:tcW w:w="592" w:type="dxa"/>
          </w:tcPr>
          <w:p w14:paraId="604CD7CC" w14:textId="77777777" w:rsidR="002E43D9" w:rsidRDefault="002E43D9" w:rsidP="002E43D9">
            <w:pPr>
              <w:jc w:val="center"/>
            </w:pPr>
          </w:p>
        </w:tc>
        <w:tc>
          <w:tcPr>
            <w:tcW w:w="6308" w:type="dxa"/>
          </w:tcPr>
          <w:p w14:paraId="7EFFA657" w14:textId="1A633DEF" w:rsidR="002E43D9" w:rsidRDefault="002E43D9" w:rsidP="00BB5510">
            <w:pPr>
              <w:spacing w:after="160" w:line="278" w:lineRule="auto"/>
              <w:jc w:val="both"/>
            </w:pPr>
            <w:r>
              <w:rPr>
                <w:b/>
              </w:rPr>
              <w:t>“Securities Virtual Asset”</w:t>
            </w:r>
            <w:r>
              <w:t xml:space="preserve"> is a digital representation</w:t>
            </w:r>
            <w:r w:rsidR="00033089">
              <w:t xml:space="preserve"> </w:t>
            </w:r>
            <w:r w:rsidR="00033089" w:rsidRPr="00036D9B">
              <w:rPr>
                <w:color w:val="000000" w:themeColor="text1"/>
              </w:rPr>
              <w:t>(in token form)</w:t>
            </w:r>
            <w:r w:rsidRPr="00033089">
              <w:rPr>
                <w:color w:val="FF0000"/>
              </w:rPr>
              <w:t xml:space="preserve"> </w:t>
            </w:r>
            <w:r>
              <w:t xml:space="preserve">of value that qualifies as a </w:t>
            </w:r>
            <w:r>
              <w:rPr>
                <w:b/>
              </w:rPr>
              <w:t>security</w:t>
            </w:r>
            <w:r>
              <w:t xml:space="preserve"> under the Maldives Securities Act (Law number: 2/2006). This classification isn't based on the asset's name (like "cryptocurrency" or "token") but on its </w:t>
            </w:r>
            <w:r>
              <w:rPr>
                <w:b/>
              </w:rPr>
              <w:t>economic reality</w:t>
            </w:r>
            <w:r>
              <w:t xml:space="preserve"> and how it's offered and sold.</w:t>
            </w:r>
            <w:r w:rsidRPr="005714D1">
              <w:rPr>
                <w:color w:val="FF0000"/>
              </w:rPr>
              <w:t xml:space="preserve"> </w:t>
            </w:r>
            <w:r w:rsidRPr="00BE1D6B">
              <w:rPr>
                <w:color w:val="000000" w:themeColor="text1"/>
              </w:rPr>
              <w:t>This does not include virtual assets that function purely as means of payment</w:t>
            </w:r>
            <w:r w:rsidR="00955E2E" w:rsidRPr="00BE1D6B">
              <w:rPr>
                <w:color w:val="000000" w:themeColor="text1"/>
              </w:rPr>
              <w:t xml:space="preserve">, </w:t>
            </w:r>
            <w:r w:rsidR="00A03922">
              <w:rPr>
                <w:color w:val="000000" w:themeColor="text1"/>
              </w:rPr>
              <w:t>legal tender</w:t>
            </w:r>
            <w:r w:rsidR="00D43B55">
              <w:rPr>
                <w:color w:val="000000" w:themeColor="text1"/>
              </w:rPr>
              <w:t xml:space="preserve"> (physical and digital form)</w:t>
            </w:r>
            <w:r w:rsidR="00A03922">
              <w:rPr>
                <w:color w:val="000000" w:themeColor="text1"/>
              </w:rPr>
              <w:t xml:space="preserve">, </w:t>
            </w:r>
            <w:r w:rsidRPr="00BE1D6B">
              <w:rPr>
                <w:color w:val="000000" w:themeColor="text1"/>
              </w:rPr>
              <w:t xml:space="preserve">stablecoins </w:t>
            </w:r>
            <w:r w:rsidR="00955E2E" w:rsidRPr="00BE1D6B">
              <w:rPr>
                <w:color w:val="000000" w:themeColor="text1"/>
              </w:rPr>
              <w:t>and</w:t>
            </w:r>
            <w:r w:rsidRPr="00BE1D6B">
              <w:rPr>
                <w:color w:val="000000" w:themeColor="text1"/>
              </w:rPr>
              <w:t xml:space="preserve"> CBDCs.</w:t>
            </w:r>
            <w:r w:rsidR="00A03922">
              <w:rPr>
                <w:color w:val="000000" w:themeColor="text1"/>
              </w:rPr>
              <w:t xml:space="preserve"> </w:t>
            </w:r>
            <w:r w:rsidR="00562251">
              <w:rPr>
                <w:color w:val="000000" w:themeColor="text1"/>
              </w:rPr>
              <w:t xml:space="preserve"> </w:t>
            </w:r>
          </w:p>
        </w:tc>
      </w:tr>
      <w:tr w:rsidR="002E43D9" w14:paraId="155FEFEB" w14:textId="77777777" w:rsidTr="002E43D9">
        <w:trPr>
          <w:trHeight w:val="289"/>
        </w:trPr>
        <w:tc>
          <w:tcPr>
            <w:tcW w:w="2880" w:type="dxa"/>
          </w:tcPr>
          <w:p w14:paraId="1EA338EF" w14:textId="77777777" w:rsidR="002E43D9" w:rsidRDefault="002E43D9" w:rsidP="002E43D9">
            <w:pPr>
              <w:rPr>
                <w:b/>
              </w:rPr>
            </w:pPr>
          </w:p>
        </w:tc>
        <w:tc>
          <w:tcPr>
            <w:tcW w:w="535" w:type="dxa"/>
          </w:tcPr>
          <w:p w14:paraId="76CBDB2C" w14:textId="77777777" w:rsidR="002E43D9" w:rsidRDefault="002E43D9" w:rsidP="002E43D9"/>
        </w:tc>
        <w:tc>
          <w:tcPr>
            <w:tcW w:w="488" w:type="dxa"/>
          </w:tcPr>
          <w:p w14:paraId="05A42997" w14:textId="77777777" w:rsidR="002E43D9" w:rsidRDefault="002E43D9" w:rsidP="002E43D9">
            <w:pPr>
              <w:jc w:val="center"/>
            </w:pPr>
            <w:r>
              <w:t>(b)</w:t>
            </w:r>
          </w:p>
        </w:tc>
        <w:tc>
          <w:tcPr>
            <w:tcW w:w="592" w:type="dxa"/>
          </w:tcPr>
          <w:p w14:paraId="05DC2A0D" w14:textId="77777777" w:rsidR="002E43D9" w:rsidRDefault="002E43D9" w:rsidP="002E43D9">
            <w:pPr>
              <w:jc w:val="center"/>
            </w:pPr>
          </w:p>
        </w:tc>
        <w:tc>
          <w:tcPr>
            <w:tcW w:w="6308" w:type="dxa"/>
          </w:tcPr>
          <w:p w14:paraId="6A45DDEE" w14:textId="77777777" w:rsidR="002E43D9" w:rsidRDefault="002E43D9" w:rsidP="002E43D9">
            <w:r>
              <w:rPr>
                <w:b/>
              </w:rPr>
              <w:t xml:space="preserve">“Authority” </w:t>
            </w:r>
            <w:r>
              <w:t xml:space="preserve">means Capital Market Development Authority established under the Maldives Securities Act (Law number: 2/2006).  </w:t>
            </w:r>
          </w:p>
        </w:tc>
      </w:tr>
      <w:tr w:rsidR="002E43D9" w14:paraId="3D706C20" w14:textId="77777777" w:rsidTr="002E43D9">
        <w:trPr>
          <w:trHeight w:val="289"/>
        </w:trPr>
        <w:tc>
          <w:tcPr>
            <w:tcW w:w="2880" w:type="dxa"/>
          </w:tcPr>
          <w:p w14:paraId="1C83D8E6" w14:textId="77777777" w:rsidR="002E43D9" w:rsidRDefault="002E43D9" w:rsidP="002E43D9"/>
        </w:tc>
        <w:tc>
          <w:tcPr>
            <w:tcW w:w="535" w:type="dxa"/>
          </w:tcPr>
          <w:p w14:paraId="0924B0D2" w14:textId="77777777" w:rsidR="002E43D9" w:rsidRDefault="002E43D9" w:rsidP="002E43D9"/>
        </w:tc>
        <w:tc>
          <w:tcPr>
            <w:tcW w:w="488" w:type="dxa"/>
          </w:tcPr>
          <w:p w14:paraId="5FA023C8" w14:textId="77777777" w:rsidR="002E43D9" w:rsidRDefault="002E43D9" w:rsidP="002E43D9">
            <w:pPr>
              <w:jc w:val="center"/>
            </w:pPr>
            <w:r>
              <w:t>(c)</w:t>
            </w:r>
          </w:p>
        </w:tc>
        <w:tc>
          <w:tcPr>
            <w:tcW w:w="592" w:type="dxa"/>
          </w:tcPr>
          <w:p w14:paraId="1D89920A" w14:textId="77777777" w:rsidR="002E43D9" w:rsidRDefault="002E43D9" w:rsidP="002E43D9">
            <w:pPr>
              <w:jc w:val="center"/>
            </w:pPr>
          </w:p>
        </w:tc>
        <w:tc>
          <w:tcPr>
            <w:tcW w:w="6308" w:type="dxa"/>
          </w:tcPr>
          <w:p w14:paraId="41B45011" w14:textId="4A766638" w:rsidR="002E43D9" w:rsidRDefault="002E43D9" w:rsidP="002E43D9">
            <w:pPr>
              <w:spacing w:after="160" w:line="278" w:lineRule="auto"/>
            </w:pPr>
            <w:r>
              <w:rPr>
                <w:b/>
              </w:rPr>
              <w:t>“Securities Virtual Asset Service Provider (S</w:t>
            </w:r>
            <w:r w:rsidR="007E0034">
              <w:rPr>
                <w:b/>
              </w:rPr>
              <w:t>-</w:t>
            </w:r>
            <w:r>
              <w:rPr>
                <w:b/>
              </w:rPr>
              <w:t xml:space="preserve">VASP)” </w:t>
            </w:r>
            <w:r>
              <w:t xml:space="preserve">means any person or legal entity licensed or registered by the Authority to carry out one or more </w:t>
            </w:r>
            <w:r w:rsidR="00F46A7E">
              <w:rPr>
                <w:color w:val="000000" w:themeColor="text1"/>
              </w:rPr>
              <w:t>S</w:t>
            </w:r>
            <w:r w:rsidRPr="00F46A7E">
              <w:rPr>
                <w:color w:val="000000" w:themeColor="text1"/>
              </w:rPr>
              <w:t>ecurities</w:t>
            </w:r>
            <w:r>
              <w:t xml:space="preserve"> Virtual Asset Activities under this Regulation.</w:t>
            </w:r>
          </w:p>
        </w:tc>
      </w:tr>
      <w:tr w:rsidR="002E43D9" w14:paraId="1512BA40" w14:textId="77777777" w:rsidTr="002E43D9">
        <w:trPr>
          <w:trHeight w:val="289"/>
        </w:trPr>
        <w:tc>
          <w:tcPr>
            <w:tcW w:w="2880" w:type="dxa"/>
          </w:tcPr>
          <w:p w14:paraId="1CF0DA33" w14:textId="77777777" w:rsidR="002E43D9" w:rsidRDefault="002E43D9" w:rsidP="002E43D9"/>
        </w:tc>
        <w:tc>
          <w:tcPr>
            <w:tcW w:w="535" w:type="dxa"/>
          </w:tcPr>
          <w:p w14:paraId="5EEF9072" w14:textId="77777777" w:rsidR="002E43D9" w:rsidRDefault="002E43D9" w:rsidP="002E43D9"/>
        </w:tc>
        <w:tc>
          <w:tcPr>
            <w:tcW w:w="488" w:type="dxa"/>
          </w:tcPr>
          <w:p w14:paraId="27854EEA" w14:textId="77777777" w:rsidR="002E43D9" w:rsidRDefault="002E43D9" w:rsidP="002E43D9">
            <w:pPr>
              <w:jc w:val="center"/>
            </w:pPr>
            <w:r>
              <w:t>(d)</w:t>
            </w:r>
          </w:p>
        </w:tc>
        <w:tc>
          <w:tcPr>
            <w:tcW w:w="592" w:type="dxa"/>
          </w:tcPr>
          <w:p w14:paraId="40313742" w14:textId="77777777" w:rsidR="002E43D9" w:rsidRDefault="002E43D9" w:rsidP="002E43D9">
            <w:pPr>
              <w:jc w:val="center"/>
            </w:pPr>
          </w:p>
        </w:tc>
        <w:tc>
          <w:tcPr>
            <w:tcW w:w="6308" w:type="dxa"/>
          </w:tcPr>
          <w:p w14:paraId="3B21A70F" w14:textId="7E5E4993" w:rsidR="002E43D9" w:rsidRDefault="002E43D9" w:rsidP="002E43D9">
            <w:pPr>
              <w:spacing w:after="160" w:line="278" w:lineRule="auto"/>
            </w:pPr>
            <w:r>
              <w:rPr>
                <w:b/>
              </w:rPr>
              <w:t>"Virtual Asset Activities"</w:t>
            </w:r>
            <w:r>
              <w:t xml:space="preserve">: The provision of services related to </w:t>
            </w:r>
            <w:r w:rsidR="0044479F">
              <w:t>S</w:t>
            </w:r>
            <w:r>
              <w:t xml:space="preserve">ecurities </w:t>
            </w:r>
            <w:r w:rsidR="0044479F">
              <w:t>V</w:t>
            </w:r>
            <w:r>
              <w:t xml:space="preserve">irtual </w:t>
            </w:r>
            <w:r w:rsidR="0044479F">
              <w:t>A</w:t>
            </w:r>
            <w:r>
              <w:t>ssets</w:t>
            </w:r>
            <w:r w:rsidR="007E7CD7">
              <w:t xml:space="preserve"> (OR operate SVATP)</w:t>
            </w:r>
            <w:r>
              <w:t>, including, but not limited to, exchange, transfer, custody, and advisory services.</w:t>
            </w:r>
            <w:r w:rsidR="009505A7">
              <w:t xml:space="preserve"> </w:t>
            </w:r>
          </w:p>
        </w:tc>
      </w:tr>
      <w:tr w:rsidR="002E43D9" w14:paraId="7FBC9EA4" w14:textId="77777777" w:rsidTr="002E43D9">
        <w:trPr>
          <w:trHeight w:val="289"/>
        </w:trPr>
        <w:tc>
          <w:tcPr>
            <w:tcW w:w="2880" w:type="dxa"/>
          </w:tcPr>
          <w:p w14:paraId="0A7FEDE3" w14:textId="77777777" w:rsidR="002E43D9" w:rsidRDefault="002E43D9" w:rsidP="002E43D9"/>
        </w:tc>
        <w:tc>
          <w:tcPr>
            <w:tcW w:w="535" w:type="dxa"/>
          </w:tcPr>
          <w:p w14:paraId="68D5DFA0" w14:textId="77777777" w:rsidR="002E43D9" w:rsidRDefault="002E43D9" w:rsidP="002E43D9"/>
        </w:tc>
        <w:tc>
          <w:tcPr>
            <w:tcW w:w="488" w:type="dxa"/>
          </w:tcPr>
          <w:p w14:paraId="6FF0E5DF" w14:textId="77777777" w:rsidR="002E43D9" w:rsidRDefault="002E43D9" w:rsidP="002E43D9">
            <w:pPr>
              <w:jc w:val="center"/>
            </w:pPr>
            <w:r>
              <w:t>(e)</w:t>
            </w:r>
          </w:p>
        </w:tc>
        <w:tc>
          <w:tcPr>
            <w:tcW w:w="592" w:type="dxa"/>
          </w:tcPr>
          <w:p w14:paraId="07AF99AC" w14:textId="77777777" w:rsidR="002E43D9" w:rsidRDefault="002E43D9" w:rsidP="002E43D9">
            <w:pPr>
              <w:jc w:val="center"/>
            </w:pPr>
          </w:p>
        </w:tc>
        <w:tc>
          <w:tcPr>
            <w:tcW w:w="6308" w:type="dxa"/>
          </w:tcPr>
          <w:p w14:paraId="76A7001F" w14:textId="312FDD6F" w:rsidR="002E43D9" w:rsidRDefault="002E43D9" w:rsidP="002E43D9">
            <w:pPr>
              <w:spacing w:after="160" w:line="278" w:lineRule="auto"/>
            </w:pPr>
            <w:r>
              <w:rPr>
                <w:b/>
              </w:rPr>
              <w:t>"Competent Authorities"</w:t>
            </w:r>
            <w:r>
              <w:t xml:space="preserve">: The </w:t>
            </w:r>
            <w:r w:rsidR="001C13BA">
              <w:t>Capital Market Development Authority (CMDA)</w:t>
            </w:r>
            <w:r>
              <w:t xml:space="preserve">and the </w:t>
            </w:r>
            <w:r w:rsidR="001C13BA">
              <w:t>Maldives Monetary Authority (MMA)</w:t>
            </w:r>
            <w:r>
              <w:t>.</w:t>
            </w:r>
            <w:r w:rsidR="001C13BA">
              <w:t xml:space="preserve"> </w:t>
            </w:r>
          </w:p>
        </w:tc>
      </w:tr>
      <w:tr w:rsidR="002E43D9" w14:paraId="297DB074" w14:textId="77777777" w:rsidTr="002E43D9">
        <w:trPr>
          <w:trHeight w:val="289"/>
        </w:trPr>
        <w:tc>
          <w:tcPr>
            <w:tcW w:w="2880" w:type="dxa"/>
          </w:tcPr>
          <w:p w14:paraId="021F03AD" w14:textId="77777777" w:rsidR="002E43D9" w:rsidRDefault="002E43D9" w:rsidP="002E43D9"/>
        </w:tc>
        <w:tc>
          <w:tcPr>
            <w:tcW w:w="535" w:type="dxa"/>
          </w:tcPr>
          <w:p w14:paraId="7ADCAE54" w14:textId="77777777" w:rsidR="002E43D9" w:rsidRDefault="002E43D9" w:rsidP="002E43D9"/>
        </w:tc>
        <w:tc>
          <w:tcPr>
            <w:tcW w:w="488" w:type="dxa"/>
          </w:tcPr>
          <w:p w14:paraId="7F18CC58" w14:textId="77777777" w:rsidR="002E43D9" w:rsidRDefault="002E43D9" w:rsidP="002E43D9">
            <w:pPr>
              <w:jc w:val="center"/>
            </w:pPr>
            <w:r>
              <w:t>(f)</w:t>
            </w:r>
          </w:p>
        </w:tc>
        <w:tc>
          <w:tcPr>
            <w:tcW w:w="592" w:type="dxa"/>
          </w:tcPr>
          <w:p w14:paraId="7564383D" w14:textId="77777777" w:rsidR="002E43D9" w:rsidRDefault="002E43D9" w:rsidP="002E43D9">
            <w:pPr>
              <w:jc w:val="center"/>
            </w:pPr>
          </w:p>
        </w:tc>
        <w:tc>
          <w:tcPr>
            <w:tcW w:w="6308" w:type="dxa"/>
          </w:tcPr>
          <w:p w14:paraId="20CE6822" w14:textId="11723301" w:rsidR="005A2674" w:rsidRPr="00A20E12" w:rsidRDefault="005A2674" w:rsidP="00A20E12">
            <w:pPr>
              <w:rPr>
                <w:lang w:val="en-US"/>
              </w:rPr>
            </w:pPr>
            <w:r w:rsidRPr="005A2674">
              <w:rPr>
                <w:lang w:val="en-US"/>
              </w:rPr>
              <w:t>"</w:t>
            </w:r>
            <w:r w:rsidRPr="005A2674">
              <w:rPr>
                <w:b/>
                <w:bCs/>
                <w:lang w:val="en-US"/>
              </w:rPr>
              <w:t>Securities Virtual Assets Trading Platform</w:t>
            </w:r>
            <w:r w:rsidRPr="005A2674">
              <w:rPr>
                <w:lang w:val="en-US"/>
              </w:rPr>
              <w:t>" (SVATP) means any electronic or other facility, system, or mechanism that is operated by a Securities Virtual Assets Service Provider for the purpose of, or that has the effect of, facilitating the purchase, sale, exchange, or transfer of Virtual Assets that meet the definition of "Securities" under the relevant Maldivian law.</w:t>
            </w:r>
          </w:p>
        </w:tc>
      </w:tr>
      <w:tr w:rsidR="002E43D9" w14:paraId="275052D3" w14:textId="77777777" w:rsidTr="002E43D9">
        <w:trPr>
          <w:trHeight w:val="289"/>
        </w:trPr>
        <w:tc>
          <w:tcPr>
            <w:tcW w:w="2880" w:type="dxa"/>
          </w:tcPr>
          <w:p w14:paraId="55E70C49" w14:textId="77777777" w:rsidR="002E43D9" w:rsidRDefault="002E43D9" w:rsidP="002E43D9"/>
        </w:tc>
        <w:tc>
          <w:tcPr>
            <w:tcW w:w="535" w:type="dxa"/>
          </w:tcPr>
          <w:p w14:paraId="1BCF2490" w14:textId="77777777" w:rsidR="002E43D9" w:rsidRDefault="002E43D9" w:rsidP="002E43D9"/>
        </w:tc>
        <w:tc>
          <w:tcPr>
            <w:tcW w:w="488" w:type="dxa"/>
          </w:tcPr>
          <w:p w14:paraId="74BA6C32" w14:textId="77777777" w:rsidR="002E43D9" w:rsidRDefault="002E43D9" w:rsidP="002E43D9">
            <w:pPr>
              <w:jc w:val="center"/>
            </w:pPr>
            <w:r>
              <w:t>(g)</w:t>
            </w:r>
          </w:p>
        </w:tc>
        <w:tc>
          <w:tcPr>
            <w:tcW w:w="592" w:type="dxa"/>
          </w:tcPr>
          <w:p w14:paraId="2ED5A9BC" w14:textId="77777777" w:rsidR="002E43D9" w:rsidRDefault="002E43D9" w:rsidP="002E43D9">
            <w:pPr>
              <w:jc w:val="center"/>
            </w:pPr>
          </w:p>
        </w:tc>
        <w:tc>
          <w:tcPr>
            <w:tcW w:w="6308" w:type="dxa"/>
          </w:tcPr>
          <w:p w14:paraId="06CEF9C8" w14:textId="11BB8130" w:rsidR="002F0217" w:rsidRPr="002F0217" w:rsidRDefault="002F0217" w:rsidP="002F0217">
            <w:pPr>
              <w:rPr>
                <w:bCs/>
              </w:rPr>
            </w:pPr>
            <w:r w:rsidRPr="002F0217">
              <w:rPr>
                <w:b/>
              </w:rPr>
              <w:t xml:space="preserve">"Stablecoin" </w:t>
            </w:r>
            <w:r w:rsidRPr="002F0217">
              <w:rPr>
                <w:bCs/>
              </w:rPr>
              <w:t>means any Virtual Asset which, by design, seeks to maintain a stable value relative to a specified external reference, which may include:</w:t>
            </w:r>
          </w:p>
          <w:p w14:paraId="4D512D45" w14:textId="77777777" w:rsidR="002F0217" w:rsidRPr="002F0217" w:rsidRDefault="002F0217" w:rsidP="002F0217">
            <w:pPr>
              <w:pStyle w:val="ListParagraph"/>
              <w:numPr>
                <w:ilvl w:val="0"/>
                <w:numId w:val="2"/>
              </w:numPr>
              <w:rPr>
                <w:bCs/>
              </w:rPr>
            </w:pPr>
            <w:r w:rsidRPr="002F0217">
              <w:rPr>
                <w:bCs/>
              </w:rPr>
              <w:t>A fiat currency (e.g., the Maldivian Rufiyaa, the US Dollar, or the Euro).</w:t>
            </w:r>
          </w:p>
          <w:p w14:paraId="1AEAACDC" w14:textId="77777777" w:rsidR="002F0217" w:rsidRPr="002F0217" w:rsidRDefault="002F0217" w:rsidP="002F0217">
            <w:pPr>
              <w:pStyle w:val="ListParagraph"/>
              <w:numPr>
                <w:ilvl w:val="0"/>
                <w:numId w:val="2"/>
              </w:numPr>
              <w:rPr>
                <w:bCs/>
              </w:rPr>
            </w:pPr>
            <w:r w:rsidRPr="002F0217">
              <w:rPr>
                <w:bCs/>
              </w:rPr>
              <w:t>One or more commodities (e.g., gold or oil).</w:t>
            </w:r>
          </w:p>
          <w:p w14:paraId="55DD569B" w14:textId="7AED533B" w:rsidR="002E43D9" w:rsidRPr="002F0217" w:rsidRDefault="002F0217" w:rsidP="002F0217">
            <w:pPr>
              <w:pStyle w:val="ListParagraph"/>
              <w:numPr>
                <w:ilvl w:val="0"/>
                <w:numId w:val="2"/>
              </w:numPr>
              <w:rPr>
                <w:b/>
              </w:rPr>
            </w:pPr>
            <w:r w:rsidRPr="002F0217">
              <w:rPr>
                <w:bCs/>
              </w:rPr>
              <w:t>A basket of assets (including a combination of fiat currencies, other Virtual Assets, or financial instruments).</w:t>
            </w:r>
          </w:p>
        </w:tc>
      </w:tr>
      <w:tr w:rsidR="002E43D9" w14:paraId="0EE2AF5A" w14:textId="77777777" w:rsidTr="002E43D9">
        <w:trPr>
          <w:trHeight w:val="289"/>
        </w:trPr>
        <w:tc>
          <w:tcPr>
            <w:tcW w:w="2880" w:type="dxa"/>
          </w:tcPr>
          <w:p w14:paraId="4F862C50" w14:textId="77777777" w:rsidR="002E43D9" w:rsidRDefault="002E43D9" w:rsidP="002E43D9"/>
        </w:tc>
        <w:tc>
          <w:tcPr>
            <w:tcW w:w="535" w:type="dxa"/>
          </w:tcPr>
          <w:p w14:paraId="695ED3B9" w14:textId="77777777" w:rsidR="002E43D9" w:rsidRDefault="002E43D9" w:rsidP="002E43D9"/>
        </w:tc>
        <w:tc>
          <w:tcPr>
            <w:tcW w:w="488" w:type="dxa"/>
          </w:tcPr>
          <w:p w14:paraId="75ED582A" w14:textId="77777777" w:rsidR="002E43D9" w:rsidRDefault="002E43D9" w:rsidP="002E43D9">
            <w:pPr>
              <w:jc w:val="center"/>
            </w:pPr>
            <w:r>
              <w:t>(h)</w:t>
            </w:r>
          </w:p>
        </w:tc>
        <w:tc>
          <w:tcPr>
            <w:tcW w:w="592" w:type="dxa"/>
          </w:tcPr>
          <w:p w14:paraId="2D5C3C0B" w14:textId="77777777" w:rsidR="002E43D9" w:rsidRDefault="002E43D9" w:rsidP="002E43D9">
            <w:pPr>
              <w:jc w:val="center"/>
            </w:pPr>
          </w:p>
        </w:tc>
        <w:tc>
          <w:tcPr>
            <w:tcW w:w="6308" w:type="dxa"/>
          </w:tcPr>
          <w:p w14:paraId="46784458" w14:textId="0E5F4574" w:rsidR="002E43D9" w:rsidRDefault="007D61C1" w:rsidP="002E43D9">
            <w:pPr>
              <w:rPr>
                <w:b/>
              </w:rPr>
            </w:pPr>
            <w:r>
              <w:rPr>
                <w:b/>
                <w:bCs/>
              </w:rPr>
              <w:t>"Utility Token"</w:t>
            </w:r>
            <w:r>
              <w:t xml:space="preserve"> means a Virtual Asset that is intended to </w:t>
            </w:r>
            <w:r w:rsidRPr="007D61C1">
              <w:t>provide digital access to a good or service available on a distributed ledger technology (DLT)</w:t>
            </w:r>
            <w:r>
              <w:t xml:space="preserve"> based system or </w:t>
            </w:r>
            <w:proofErr w:type="gramStart"/>
            <w:r>
              <w:t>network, and</w:t>
            </w:r>
            <w:proofErr w:type="gramEnd"/>
            <w:r>
              <w:t xml:space="preserve"> is only accepted by the issuer of that token. </w:t>
            </w:r>
          </w:p>
        </w:tc>
      </w:tr>
      <w:tr w:rsidR="002E43D9" w14:paraId="0E5F2D6A" w14:textId="77777777" w:rsidTr="002E43D9">
        <w:trPr>
          <w:trHeight w:val="289"/>
        </w:trPr>
        <w:tc>
          <w:tcPr>
            <w:tcW w:w="2880" w:type="dxa"/>
          </w:tcPr>
          <w:p w14:paraId="296DB8D5" w14:textId="77777777" w:rsidR="002E43D9" w:rsidRDefault="002E43D9" w:rsidP="002E43D9"/>
        </w:tc>
        <w:tc>
          <w:tcPr>
            <w:tcW w:w="535" w:type="dxa"/>
          </w:tcPr>
          <w:p w14:paraId="71589280" w14:textId="77777777" w:rsidR="002E43D9" w:rsidRDefault="002E43D9" w:rsidP="002E43D9"/>
        </w:tc>
        <w:tc>
          <w:tcPr>
            <w:tcW w:w="488" w:type="dxa"/>
          </w:tcPr>
          <w:p w14:paraId="6DF93182" w14:textId="77777777" w:rsidR="002E43D9" w:rsidRDefault="002E43D9" w:rsidP="002E43D9">
            <w:pPr>
              <w:jc w:val="center"/>
            </w:pPr>
            <w:r>
              <w:t>(</w:t>
            </w:r>
            <w:proofErr w:type="spellStart"/>
            <w:r>
              <w:t>i</w:t>
            </w:r>
            <w:proofErr w:type="spellEnd"/>
            <w:r>
              <w:t>)</w:t>
            </w:r>
          </w:p>
        </w:tc>
        <w:tc>
          <w:tcPr>
            <w:tcW w:w="592" w:type="dxa"/>
          </w:tcPr>
          <w:p w14:paraId="0BED2F8E" w14:textId="77777777" w:rsidR="002E43D9" w:rsidRDefault="002E43D9" w:rsidP="002E43D9">
            <w:pPr>
              <w:jc w:val="center"/>
            </w:pPr>
          </w:p>
        </w:tc>
        <w:tc>
          <w:tcPr>
            <w:tcW w:w="6308" w:type="dxa"/>
          </w:tcPr>
          <w:p w14:paraId="254620A5" w14:textId="05C39365" w:rsidR="002E43D9" w:rsidRPr="00B4507E" w:rsidRDefault="00CE5866" w:rsidP="00B4507E">
            <w:r>
              <w:rPr>
                <w:b/>
                <w:bCs/>
              </w:rPr>
              <w:t>"Technology Risk Management" (TRM)</w:t>
            </w:r>
            <w:r>
              <w:t xml:space="preserve"> means the comprehensive framework, policies, and procedures established by a Securities Virtual Assets Service Provider (</w:t>
            </w:r>
            <w:r w:rsidRPr="00CE5866">
              <w:t>SVASP) to manage the potential risks arising from the failure, disruption, or misuse of information systems, digital infrastructure, and underlying technology (including Distributed Ledger Technology).</w:t>
            </w:r>
          </w:p>
        </w:tc>
      </w:tr>
      <w:tr w:rsidR="002E43D9" w14:paraId="563B8963" w14:textId="77777777" w:rsidTr="002E43D9">
        <w:trPr>
          <w:trHeight w:val="289"/>
        </w:trPr>
        <w:tc>
          <w:tcPr>
            <w:tcW w:w="2880" w:type="dxa"/>
          </w:tcPr>
          <w:p w14:paraId="745DFC51" w14:textId="77777777" w:rsidR="002E43D9" w:rsidRDefault="002E43D9" w:rsidP="002E43D9"/>
        </w:tc>
        <w:tc>
          <w:tcPr>
            <w:tcW w:w="535" w:type="dxa"/>
          </w:tcPr>
          <w:p w14:paraId="54A5B433" w14:textId="77777777" w:rsidR="002E43D9" w:rsidRDefault="002E43D9" w:rsidP="002E43D9"/>
        </w:tc>
        <w:tc>
          <w:tcPr>
            <w:tcW w:w="488" w:type="dxa"/>
          </w:tcPr>
          <w:p w14:paraId="73FEDD45" w14:textId="77777777" w:rsidR="002E43D9" w:rsidRDefault="002E43D9" w:rsidP="002E43D9">
            <w:pPr>
              <w:jc w:val="center"/>
            </w:pPr>
            <w:r>
              <w:t>(j)</w:t>
            </w:r>
          </w:p>
        </w:tc>
        <w:tc>
          <w:tcPr>
            <w:tcW w:w="592" w:type="dxa"/>
          </w:tcPr>
          <w:p w14:paraId="137B8A9E" w14:textId="77777777" w:rsidR="002E43D9" w:rsidRDefault="002E43D9" w:rsidP="002E43D9">
            <w:pPr>
              <w:jc w:val="center"/>
            </w:pPr>
          </w:p>
        </w:tc>
        <w:tc>
          <w:tcPr>
            <w:tcW w:w="6308" w:type="dxa"/>
          </w:tcPr>
          <w:p w14:paraId="05818E44" w14:textId="2EF79D83" w:rsidR="00B4507E" w:rsidRDefault="00B4507E" w:rsidP="002E43D9">
            <w:pPr>
              <w:rPr>
                <w:b/>
              </w:rPr>
            </w:pPr>
            <w:r>
              <w:rPr>
                <w:b/>
              </w:rPr>
              <w:t xml:space="preserve">“Whitepaper”: </w:t>
            </w:r>
            <w:r>
              <w:t xml:space="preserve">A public disclosure </w:t>
            </w:r>
            <w:r w:rsidRPr="00C62351">
              <w:t xml:space="preserve">document issued by a </w:t>
            </w:r>
            <w:r w:rsidR="00C62351">
              <w:t xml:space="preserve">securities </w:t>
            </w:r>
            <w:r w:rsidRPr="00C62351">
              <w:t>virtual asset issuer</w:t>
            </w:r>
            <w:r>
              <w:t xml:space="preserve"> detailing the project, rights attached to the tokens, technology, risks, and governance. </w:t>
            </w:r>
          </w:p>
        </w:tc>
      </w:tr>
      <w:tr w:rsidR="000A5C46" w14:paraId="4648A03F" w14:textId="77777777" w:rsidTr="002E43D9">
        <w:trPr>
          <w:trHeight w:val="289"/>
        </w:trPr>
        <w:tc>
          <w:tcPr>
            <w:tcW w:w="2880" w:type="dxa"/>
          </w:tcPr>
          <w:p w14:paraId="59AD9A2C" w14:textId="77777777" w:rsidR="000A5C46" w:rsidRDefault="000A5C46" w:rsidP="002E43D9"/>
        </w:tc>
        <w:tc>
          <w:tcPr>
            <w:tcW w:w="535" w:type="dxa"/>
          </w:tcPr>
          <w:p w14:paraId="7400828B" w14:textId="77777777" w:rsidR="000A5C46" w:rsidRDefault="000A5C46" w:rsidP="002E43D9"/>
        </w:tc>
        <w:tc>
          <w:tcPr>
            <w:tcW w:w="488" w:type="dxa"/>
          </w:tcPr>
          <w:p w14:paraId="529CF24D" w14:textId="04385D3E" w:rsidR="000A5C46" w:rsidRDefault="000A5C46" w:rsidP="002E43D9">
            <w:pPr>
              <w:jc w:val="center"/>
            </w:pPr>
            <w:r>
              <w:t>(k)</w:t>
            </w:r>
          </w:p>
        </w:tc>
        <w:tc>
          <w:tcPr>
            <w:tcW w:w="592" w:type="dxa"/>
          </w:tcPr>
          <w:p w14:paraId="6A084BB6" w14:textId="77777777" w:rsidR="000A5C46" w:rsidRDefault="000A5C46" w:rsidP="002E43D9">
            <w:pPr>
              <w:jc w:val="center"/>
            </w:pPr>
          </w:p>
        </w:tc>
        <w:tc>
          <w:tcPr>
            <w:tcW w:w="6308" w:type="dxa"/>
          </w:tcPr>
          <w:p w14:paraId="5B4D79DB" w14:textId="05BCEE19" w:rsidR="000A5C46" w:rsidRDefault="000A5C46" w:rsidP="002E43D9">
            <w:pPr>
              <w:rPr>
                <w:b/>
              </w:rPr>
            </w:pPr>
            <w:r w:rsidRPr="007C1237">
              <w:rPr>
                <w:bCs/>
              </w:rPr>
              <w:t>“</w:t>
            </w:r>
            <w:r w:rsidR="00C10645" w:rsidRPr="007C1237">
              <w:rPr>
                <w:b/>
              </w:rPr>
              <w:t>SVATP Proposal</w:t>
            </w:r>
            <w:r w:rsidR="00C10645" w:rsidRPr="007C1237">
              <w:rPr>
                <w:bCs/>
              </w:rPr>
              <w:t>” is the formal document, structured in the mandated form and including all specifics required by the Authority (as updated periodically), detailing the Virtual Assets trading platform put forward by the Virtual Assets Service Provider.</w:t>
            </w:r>
          </w:p>
        </w:tc>
      </w:tr>
      <w:tr w:rsidR="002E43D9" w14:paraId="148AFFDB" w14:textId="77777777" w:rsidTr="00D71855">
        <w:trPr>
          <w:trHeight w:val="710"/>
        </w:trPr>
        <w:tc>
          <w:tcPr>
            <w:tcW w:w="2880" w:type="dxa"/>
          </w:tcPr>
          <w:p w14:paraId="45128E21" w14:textId="77777777" w:rsidR="002E43D9" w:rsidRDefault="002E43D9" w:rsidP="002E43D9">
            <w:pPr>
              <w:spacing w:after="160" w:line="278" w:lineRule="auto"/>
            </w:pPr>
            <w:r>
              <w:rPr>
                <w:b/>
              </w:rPr>
              <w:t>Institutional Framework and Jurisdiction</w:t>
            </w:r>
          </w:p>
        </w:tc>
        <w:tc>
          <w:tcPr>
            <w:tcW w:w="535" w:type="dxa"/>
          </w:tcPr>
          <w:p w14:paraId="73E368CB" w14:textId="77777777" w:rsidR="002E43D9" w:rsidRDefault="002E43D9" w:rsidP="002E43D9">
            <w:r>
              <w:t xml:space="preserve">3. </w:t>
            </w:r>
          </w:p>
        </w:tc>
        <w:tc>
          <w:tcPr>
            <w:tcW w:w="488" w:type="dxa"/>
          </w:tcPr>
          <w:p w14:paraId="763827A8" w14:textId="77777777" w:rsidR="002E43D9" w:rsidRDefault="002E43D9" w:rsidP="002E43D9">
            <w:pPr>
              <w:jc w:val="center"/>
            </w:pPr>
            <w:r>
              <w:t>(a)</w:t>
            </w:r>
          </w:p>
        </w:tc>
        <w:tc>
          <w:tcPr>
            <w:tcW w:w="592" w:type="dxa"/>
          </w:tcPr>
          <w:p w14:paraId="6356583B" w14:textId="77777777" w:rsidR="002E43D9" w:rsidRDefault="002E43D9" w:rsidP="002E43D9">
            <w:pPr>
              <w:jc w:val="center"/>
            </w:pPr>
          </w:p>
        </w:tc>
        <w:tc>
          <w:tcPr>
            <w:tcW w:w="6308" w:type="dxa"/>
          </w:tcPr>
          <w:p w14:paraId="0283C78C" w14:textId="0C1AD7CA" w:rsidR="002E43D9" w:rsidRPr="006C727A" w:rsidRDefault="002E43D9" w:rsidP="002E43D9">
            <w:r w:rsidRPr="006C727A">
              <w:t xml:space="preserve">The regulation and supervision of </w:t>
            </w:r>
            <w:r w:rsidR="007E0034">
              <w:t>S</w:t>
            </w:r>
            <w:r w:rsidRPr="006C727A">
              <w:t xml:space="preserve">VASP and Securities Virtual Assets shall be conducted by the Authority.  </w:t>
            </w:r>
          </w:p>
        </w:tc>
      </w:tr>
      <w:tr w:rsidR="002E43D9" w14:paraId="709BB53B" w14:textId="77777777" w:rsidTr="002E43D9">
        <w:trPr>
          <w:trHeight w:val="289"/>
        </w:trPr>
        <w:tc>
          <w:tcPr>
            <w:tcW w:w="2880" w:type="dxa"/>
          </w:tcPr>
          <w:p w14:paraId="33863EAB" w14:textId="3550C70D" w:rsidR="002E43D9" w:rsidRDefault="00404AA9" w:rsidP="002E43D9">
            <w:r>
              <w:rPr>
                <w:b/>
              </w:rPr>
              <w:t>Inter-Agency Coordination</w:t>
            </w:r>
            <w:r>
              <w:t xml:space="preserve">  </w:t>
            </w:r>
          </w:p>
        </w:tc>
        <w:tc>
          <w:tcPr>
            <w:tcW w:w="535" w:type="dxa"/>
          </w:tcPr>
          <w:p w14:paraId="401EE2E3" w14:textId="77777777" w:rsidR="002E43D9" w:rsidRDefault="002E43D9" w:rsidP="002E43D9"/>
        </w:tc>
        <w:tc>
          <w:tcPr>
            <w:tcW w:w="488" w:type="dxa"/>
          </w:tcPr>
          <w:p w14:paraId="7BF30437" w14:textId="77777777" w:rsidR="002E43D9" w:rsidRDefault="002E43D9" w:rsidP="002E43D9">
            <w:pPr>
              <w:jc w:val="center"/>
            </w:pPr>
            <w:r>
              <w:t>(b)</w:t>
            </w:r>
          </w:p>
        </w:tc>
        <w:tc>
          <w:tcPr>
            <w:tcW w:w="592" w:type="dxa"/>
          </w:tcPr>
          <w:p w14:paraId="34F5A572" w14:textId="77777777" w:rsidR="002E43D9" w:rsidRDefault="002E43D9" w:rsidP="002E43D9">
            <w:pPr>
              <w:jc w:val="center"/>
            </w:pPr>
          </w:p>
        </w:tc>
        <w:tc>
          <w:tcPr>
            <w:tcW w:w="6308" w:type="dxa"/>
          </w:tcPr>
          <w:p w14:paraId="4ED8DCCE" w14:textId="0EF10C86" w:rsidR="002E43D9" w:rsidRDefault="002E43D9" w:rsidP="002E43D9">
            <w:pPr>
              <w:rPr>
                <w:b/>
              </w:rPr>
            </w:pPr>
            <w:r>
              <w:t>The Authority and MMA shall establish a mechanism to provide mutual support and assistance to each institution in relation to matters concerning virtual assets.</w:t>
            </w:r>
            <w:r>
              <w:rPr>
                <w:b/>
              </w:rPr>
              <w:t xml:space="preserve"> </w:t>
            </w:r>
            <w:r w:rsidR="001044AB">
              <w:rPr>
                <w:b/>
              </w:rPr>
              <w:t xml:space="preserve"> </w:t>
            </w:r>
          </w:p>
        </w:tc>
      </w:tr>
      <w:tr w:rsidR="002E43D9" w14:paraId="523E66A5" w14:textId="77777777" w:rsidTr="002E43D9">
        <w:trPr>
          <w:trHeight w:val="289"/>
        </w:trPr>
        <w:tc>
          <w:tcPr>
            <w:tcW w:w="2880" w:type="dxa"/>
          </w:tcPr>
          <w:p w14:paraId="208495F1" w14:textId="352C9825" w:rsidR="002E43D9" w:rsidRDefault="00062544" w:rsidP="002E43D9">
            <w:r>
              <w:rPr>
                <w:b/>
                <w:color w:val="000000"/>
              </w:rPr>
              <w:t xml:space="preserve">Policy Alignment </w:t>
            </w:r>
          </w:p>
        </w:tc>
        <w:tc>
          <w:tcPr>
            <w:tcW w:w="535" w:type="dxa"/>
          </w:tcPr>
          <w:p w14:paraId="1978FB9F" w14:textId="77777777" w:rsidR="002E43D9" w:rsidRDefault="002E43D9" w:rsidP="002E43D9">
            <w:r>
              <w:t>4.</w:t>
            </w:r>
          </w:p>
        </w:tc>
        <w:tc>
          <w:tcPr>
            <w:tcW w:w="488" w:type="dxa"/>
          </w:tcPr>
          <w:p w14:paraId="5159B7A9" w14:textId="6913759B" w:rsidR="002E43D9" w:rsidRDefault="002E43D9" w:rsidP="00520278"/>
        </w:tc>
        <w:tc>
          <w:tcPr>
            <w:tcW w:w="592" w:type="dxa"/>
          </w:tcPr>
          <w:p w14:paraId="79E7B15F" w14:textId="77777777" w:rsidR="002E43D9" w:rsidRDefault="002E43D9" w:rsidP="002E43D9">
            <w:pPr>
              <w:jc w:val="center"/>
            </w:pPr>
          </w:p>
        </w:tc>
        <w:tc>
          <w:tcPr>
            <w:tcW w:w="6308" w:type="dxa"/>
          </w:tcPr>
          <w:p w14:paraId="488C87B1" w14:textId="5F295599" w:rsidR="002E43D9" w:rsidRDefault="002E43D9" w:rsidP="002E43D9">
            <w:pPr>
              <w:rPr>
                <w:b/>
              </w:rPr>
            </w:pPr>
            <w:r>
              <w:rPr>
                <w:color w:val="000000"/>
              </w:rPr>
              <w:t xml:space="preserve">The Authority shall coordinate and align </w:t>
            </w:r>
            <w:r w:rsidRPr="00771FD5">
              <w:rPr>
                <w:color w:val="000000"/>
              </w:rPr>
              <w:t xml:space="preserve">policies </w:t>
            </w:r>
            <w:r w:rsidR="00BA6DF4" w:rsidRPr="00771FD5">
              <w:rPr>
                <w:color w:val="000000"/>
              </w:rPr>
              <w:t>(</w:t>
            </w:r>
            <w:r w:rsidR="00771FD5" w:rsidRPr="00771FD5">
              <w:rPr>
                <w:color w:val="000000"/>
              </w:rPr>
              <w:t>to the extent practicable</w:t>
            </w:r>
            <w:r w:rsidR="00BA6DF4" w:rsidRPr="00771FD5">
              <w:rPr>
                <w:color w:val="000000"/>
              </w:rPr>
              <w:t>)</w:t>
            </w:r>
            <w:r w:rsidR="00BA6DF4">
              <w:rPr>
                <w:color w:val="000000"/>
              </w:rPr>
              <w:t xml:space="preserve"> </w:t>
            </w:r>
            <w:r>
              <w:rPr>
                <w:color w:val="000000"/>
              </w:rPr>
              <w:t>with all relevant regulatory authorities to:</w:t>
            </w:r>
            <w:r w:rsidR="001C5B76">
              <w:rPr>
                <w:color w:val="000000"/>
              </w:rPr>
              <w:t xml:space="preserve"> </w:t>
            </w:r>
          </w:p>
        </w:tc>
      </w:tr>
      <w:tr w:rsidR="002E43D9" w14:paraId="6BD2955D" w14:textId="77777777" w:rsidTr="002E43D9">
        <w:trPr>
          <w:trHeight w:val="289"/>
        </w:trPr>
        <w:tc>
          <w:tcPr>
            <w:tcW w:w="2880" w:type="dxa"/>
          </w:tcPr>
          <w:p w14:paraId="3EF49D83" w14:textId="77777777" w:rsidR="002E43D9" w:rsidRDefault="002E43D9" w:rsidP="002E43D9">
            <w:pPr>
              <w:rPr>
                <w:b/>
                <w:color w:val="000000"/>
              </w:rPr>
            </w:pPr>
          </w:p>
        </w:tc>
        <w:tc>
          <w:tcPr>
            <w:tcW w:w="535" w:type="dxa"/>
          </w:tcPr>
          <w:p w14:paraId="494B6EB3" w14:textId="77777777" w:rsidR="002E43D9" w:rsidRDefault="002E43D9" w:rsidP="002E43D9"/>
        </w:tc>
        <w:tc>
          <w:tcPr>
            <w:tcW w:w="488" w:type="dxa"/>
          </w:tcPr>
          <w:p w14:paraId="6DE2A723" w14:textId="77777777" w:rsidR="002E43D9" w:rsidRDefault="002E43D9" w:rsidP="002E43D9">
            <w:pPr>
              <w:jc w:val="center"/>
            </w:pPr>
          </w:p>
        </w:tc>
        <w:tc>
          <w:tcPr>
            <w:tcW w:w="592" w:type="dxa"/>
          </w:tcPr>
          <w:p w14:paraId="2B32C8F3" w14:textId="77777777" w:rsidR="002E43D9" w:rsidRDefault="002E43D9" w:rsidP="002E43D9">
            <w:pPr>
              <w:jc w:val="center"/>
            </w:pPr>
            <w:r>
              <w:t>I</w:t>
            </w:r>
          </w:p>
        </w:tc>
        <w:tc>
          <w:tcPr>
            <w:tcW w:w="6308" w:type="dxa"/>
          </w:tcPr>
          <w:p w14:paraId="5653E705" w14:textId="77777777" w:rsidR="002E43D9" w:rsidRDefault="002E43D9" w:rsidP="002E43D9">
            <w:pPr>
              <w:rPr>
                <w:color w:val="000000"/>
              </w:rPr>
            </w:pPr>
            <w:r>
              <w:rPr>
                <w:color w:val="000000"/>
              </w:rPr>
              <w:t>Prevent regulatory fragmentation; and</w:t>
            </w:r>
          </w:p>
        </w:tc>
      </w:tr>
      <w:tr w:rsidR="002E43D9" w14:paraId="48299656" w14:textId="77777777" w:rsidTr="002E43D9">
        <w:trPr>
          <w:trHeight w:val="289"/>
        </w:trPr>
        <w:tc>
          <w:tcPr>
            <w:tcW w:w="2880" w:type="dxa"/>
          </w:tcPr>
          <w:p w14:paraId="08B8F5DE" w14:textId="77777777" w:rsidR="002E43D9" w:rsidRDefault="002E43D9" w:rsidP="002E43D9">
            <w:pPr>
              <w:rPr>
                <w:b/>
                <w:color w:val="000000"/>
              </w:rPr>
            </w:pPr>
          </w:p>
        </w:tc>
        <w:tc>
          <w:tcPr>
            <w:tcW w:w="535" w:type="dxa"/>
          </w:tcPr>
          <w:p w14:paraId="3ABCFA79" w14:textId="77777777" w:rsidR="002E43D9" w:rsidRDefault="002E43D9" w:rsidP="002E43D9"/>
        </w:tc>
        <w:tc>
          <w:tcPr>
            <w:tcW w:w="488" w:type="dxa"/>
          </w:tcPr>
          <w:p w14:paraId="7EE1CFF7" w14:textId="77777777" w:rsidR="002E43D9" w:rsidRDefault="002E43D9" w:rsidP="002E43D9">
            <w:pPr>
              <w:jc w:val="center"/>
            </w:pPr>
          </w:p>
        </w:tc>
        <w:tc>
          <w:tcPr>
            <w:tcW w:w="592" w:type="dxa"/>
          </w:tcPr>
          <w:p w14:paraId="37F43908" w14:textId="77777777" w:rsidR="002E43D9" w:rsidRDefault="002E43D9" w:rsidP="002E43D9">
            <w:pPr>
              <w:jc w:val="center"/>
            </w:pPr>
            <w:r>
              <w:t>II</w:t>
            </w:r>
          </w:p>
        </w:tc>
        <w:tc>
          <w:tcPr>
            <w:tcW w:w="6308" w:type="dxa"/>
          </w:tcPr>
          <w:p w14:paraId="2F3CBCF4" w14:textId="77777777" w:rsidR="002E43D9" w:rsidRDefault="002E43D9" w:rsidP="002E43D9">
            <w:pPr>
              <w:rPr>
                <w:color w:val="000000"/>
              </w:rPr>
            </w:pPr>
            <w:r>
              <w:rPr>
                <w:color w:val="000000"/>
              </w:rPr>
              <w:t>Ensure a coherent national approach to virtual asset regulation and supervision.</w:t>
            </w:r>
          </w:p>
        </w:tc>
      </w:tr>
      <w:tr w:rsidR="0010125C" w14:paraId="330BCC3B" w14:textId="77777777" w:rsidTr="002E43D9">
        <w:trPr>
          <w:trHeight w:val="289"/>
        </w:trPr>
        <w:tc>
          <w:tcPr>
            <w:tcW w:w="2880" w:type="dxa"/>
          </w:tcPr>
          <w:p w14:paraId="3887313F" w14:textId="0A314CD0" w:rsidR="0010125C" w:rsidRDefault="0010125C" w:rsidP="002E43D9">
            <w:pPr>
              <w:rPr>
                <w:b/>
                <w:color w:val="000000"/>
              </w:rPr>
            </w:pPr>
            <w:r>
              <w:rPr>
                <w:b/>
                <w:color w:val="000000"/>
              </w:rPr>
              <w:t xml:space="preserve">Powers of the Authority </w:t>
            </w:r>
          </w:p>
        </w:tc>
        <w:tc>
          <w:tcPr>
            <w:tcW w:w="535" w:type="dxa"/>
          </w:tcPr>
          <w:p w14:paraId="3578FEED" w14:textId="23851466" w:rsidR="0010125C" w:rsidRDefault="0010125C" w:rsidP="002E43D9">
            <w:r>
              <w:t>5.</w:t>
            </w:r>
          </w:p>
        </w:tc>
        <w:tc>
          <w:tcPr>
            <w:tcW w:w="488" w:type="dxa"/>
          </w:tcPr>
          <w:p w14:paraId="7DD8970C" w14:textId="77777777" w:rsidR="0010125C" w:rsidRDefault="0010125C" w:rsidP="002E43D9">
            <w:pPr>
              <w:jc w:val="center"/>
            </w:pPr>
          </w:p>
        </w:tc>
        <w:tc>
          <w:tcPr>
            <w:tcW w:w="592" w:type="dxa"/>
          </w:tcPr>
          <w:p w14:paraId="7927961A" w14:textId="77777777" w:rsidR="0010125C" w:rsidRDefault="0010125C" w:rsidP="002E43D9">
            <w:pPr>
              <w:jc w:val="center"/>
            </w:pPr>
          </w:p>
        </w:tc>
        <w:tc>
          <w:tcPr>
            <w:tcW w:w="6308" w:type="dxa"/>
          </w:tcPr>
          <w:p w14:paraId="7EB64F43" w14:textId="3BF62C74" w:rsidR="0010125C" w:rsidRDefault="0010125C" w:rsidP="002E43D9">
            <w:pPr>
              <w:rPr>
                <w:color w:val="000000"/>
              </w:rPr>
            </w:pPr>
            <w:r w:rsidRPr="006D007D">
              <w:t>The Authority shall have the power to—</w:t>
            </w:r>
          </w:p>
        </w:tc>
      </w:tr>
      <w:tr w:rsidR="0010125C" w14:paraId="095E8B8E" w14:textId="77777777" w:rsidTr="002E43D9">
        <w:trPr>
          <w:trHeight w:val="289"/>
        </w:trPr>
        <w:tc>
          <w:tcPr>
            <w:tcW w:w="2880" w:type="dxa"/>
          </w:tcPr>
          <w:p w14:paraId="24EC8E96" w14:textId="77777777" w:rsidR="0010125C" w:rsidRDefault="0010125C" w:rsidP="002E43D9">
            <w:pPr>
              <w:rPr>
                <w:b/>
                <w:color w:val="000000"/>
              </w:rPr>
            </w:pPr>
          </w:p>
        </w:tc>
        <w:tc>
          <w:tcPr>
            <w:tcW w:w="535" w:type="dxa"/>
          </w:tcPr>
          <w:p w14:paraId="2226E17E" w14:textId="77777777" w:rsidR="0010125C" w:rsidRDefault="0010125C" w:rsidP="002E43D9"/>
        </w:tc>
        <w:tc>
          <w:tcPr>
            <w:tcW w:w="488" w:type="dxa"/>
          </w:tcPr>
          <w:p w14:paraId="48A55FD0" w14:textId="77777777" w:rsidR="0010125C" w:rsidRDefault="0010125C" w:rsidP="002E43D9">
            <w:pPr>
              <w:jc w:val="center"/>
            </w:pPr>
          </w:p>
        </w:tc>
        <w:tc>
          <w:tcPr>
            <w:tcW w:w="592" w:type="dxa"/>
          </w:tcPr>
          <w:p w14:paraId="0B597B84" w14:textId="48CC7308" w:rsidR="0010125C" w:rsidRDefault="0010125C" w:rsidP="002E43D9">
            <w:pPr>
              <w:jc w:val="center"/>
            </w:pPr>
            <w:r>
              <w:t>I</w:t>
            </w:r>
          </w:p>
        </w:tc>
        <w:tc>
          <w:tcPr>
            <w:tcW w:w="6308" w:type="dxa"/>
          </w:tcPr>
          <w:p w14:paraId="02E43F57" w14:textId="3955C2FA" w:rsidR="0010125C" w:rsidRDefault="0010125C" w:rsidP="002E43D9">
            <w:pPr>
              <w:rPr>
                <w:color w:val="000000"/>
              </w:rPr>
            </w:pPr>
            <w:r w:rsidRPr="006D007D">
              <w:t>classify virtual assets, virtual asset services, and categories of virtual asset service providers for supervisory purposes;</w:t>
            </w:r>
          </w:p>
        </w:tc>
      </w:tr>
      <w:tr w:rsidR="0010125C" w14:paraId="53C5E446" w14:textId="77777777" w:rsidTr="002E43D9">
        <w:trPr>
          <w:trHeight w:val="289"/>
        </w:trPr>
        <w:tc>
          <w:tcPr>
            <w:tcW w:w="2880" w:type="dxa"/>
          </w:tcPr>
          <w:p w14:paraId="42AC08B9" w14:textId="77777777" w:rsidR="0010125C" w:rsidRDefault="0010125C" w:rsidP="002E43D9">
            <w:pPr>
              <w:rPr>
                <w:b/>
                <w:color w:val="000000"/>
              </w:rPr>
            </w:pPr>
          </w:p>
        </w:tc>
        <w:tc>
          <w:tcPr>
            <w:tcW w:w="535" w:type="dxa"/>
          </w:tcPr>
          <w:p w14:paraId="5CD772E1" w14:textId="77777777" w:rsidR="0010125C" w:rsidRDefault="0010125C" w:rsidP="002E43D9"/>
        </w:tc>
        <w:tc>
          <w:tcPr>
            <w:tcW w:w="488" w:type="dxa"/>
          </w:tcPr>
          <w:p w14:paraId="505EFB21" w14:textId="77777777" w:rsidR="0010125C" w:rsidRDefault="0010125C" w:rsidP="002E43D9">
            <w:pPr>
              <w:jc w:val="center"/>
            </w:pPr>
          </w:p>
        </w:tc>
        <w:tc>
          <w:tcPr>
            <w:tcW w:w="592" w:type="dxa"/>
          </w:tcPr>
          <w:p w14:paraId="66D4EF36" w14:textId="6BF4B27F" w:rsidR="0010125C" w:rsidRDefault="0010125C" w:rsidP="002E43D9">
            <w:pPr>
              <w:jc w:val="center"/>
            </w:pPr>
            <w:r>
              <w:t>II</w:t>
            </w:r>
          </w:p>
        </w:tc>
        <w:tc>
          <w:tcPr>
            <w:tcW w:w="6308" w:type="dxa"/>
          </w:tcPr>
          <w:p w14:paraId="11E9DCBC" w14:textId="677D278C" w:rsidR="0010125C" w:rsidRDefault="0010125C" w:rsidP="002E43D9">
            <w:pPr>
              <w:rPr>
                <w:color w:val="000000"/>
              </w:rPr>
            </w:pPr>
            <w:r w:rsidRPr="006D007D">
              <w:t>suspend, restrict, or prohibit specific classes of virtual assets or activities where such action is necessary to protect market integrity, financial stability, or investor interests;</w:t>
            </w:r>
          </w:p>
        </w:tc>
      </w:tr>
      <w:tr w:rsidR="0010125C" w14:paraId="67A22293" w14:textId="77777777" w:rsidTr="002E43D9">
        <w:trPr>
          <w:trHeight w:val="289"/>
        </w:trPr>
        <w:tc>
          <w:tcPr>
            <w:tcW w:w="2880" w:type="dxa"/>
          </w:tcPr>
          <w:p w14:paraId="6D1A00E7" w14:textId="77777777" w:rsidR="0010125C" w:rsidRDefault="0010125C" w:rsidP="002E43D9">
            <w:pPr>
              <w:rPr>
                <w:b/>
                <w:color w:val="000000"/>
              </w:rPr>
            </w:pPr>
          </w:p>
        </w:tc>
        <w:tc>
          <w:tcPr>
            <w:tcW w:w="535" w:type="dxa"/>
          </w:tcPr>
          <w:p w14:paraId="19A1943B" w14:textId="77777777" w:rsidR="0010125C" w:rsidRDefault="0010125C" w:rsidP="002E43D9"/>
        </w:tc>
        <w:tc>
          <w:tcPr>
            <w:tcW w:w="488" w:type="dxa"/>
          </w:tcPr>
          <w:p w14:paraId="66C06E14" w14:textId="77777777" w:rsidR="0010125C" w:rsidRDefault="0010125C" w:rsidP="002E43D9">
            <w:pPr>
              <w:jc w:val="center"/>
            </w:pPr>
          </w:p>
        </w:tc>
        <w:tc>
          <w:tcPr>
            <w:tcW w:w="592" w:type="dxa"/>
          </w:tcPr>
          <w:p w14:paraId="7F4BDC83" w14:textId="0E0C3380" w:rsidR="0010125C" w:rsidRDefault="0010125C" w:rsidP="002E43D9">
            <w:pPr>
              <w:jc w:val="center"/>
            </w:pPr>
            <w:r>
              <w:t>III</w:t>
            </w:r>
          </w:p>
        </w:tc>
        <w:tc>
          <w:tcPr>
            <w:tcW w:w="6308" w:type="dxa"/>
          </w:tcPr>
          <w:p w14:paraId="1C579955" w14:textId="52BCABE0" w:rsidR="0010125C" w:rsidRDefault="0010125C" w:rsidP="002E43D9">
            <w:pPr>
              <w:rPr>
                <w:color w:val="000000"/>
              </w:rPr>
            </w:pPr>
            <w:r w:rsidRPr="006D007D">
              <w:t>issue rules, circulars, and directives to give full effect to this Regulation; and</w:t>
            </w:r>
          </w:p>
        </w:tc>
      </w:tr>
      <w:tr w:rsidR="0010125C" w14:paraId="742EC4D5" w14:textId="77777777" w:rsidTr="002E43D9">
        <w:trPr>
          <w:trHeight w:val="289"/>
        </w:trPr>
        <w:tc>
          <w:tcPr>
            <w:tcW w:w="2880" w:type="dxa"/>
          </w:tcPr>
          <w:p w14:paraId="7379DBFF" w14:textId="77777777" w:rsidR="0010125C" w:rsidRDefault="0010125C" w:rsidP="002E43D9">
            <w:pPr>
              <w:rPr>
                <w:b/>
                <w:color w:val="000000"/>
              </w:rPr>
            </w:pPr>
          </w:p>
        </w:tc>
        <w:tc>
          <w:tcPr>
            <w:tcW w:w="535" w:type="dxa"/>
          </w:tcPr>
          <w:p w14:paraId="24F9C3E5" w14:textId="77777777" w:rsidR="0010125C" w:rsidRDefault="0010125C" w:rsidP="002E43D9"/>
        </w:tc>
        <w:tc>
          <w:tcPr>
            <w:tcW w:w="488" w:type="dxa"/>
          </w:tcPr>
          <w:p w14:paraId="1CDCDE38" w14:textId="77777777" w:rsidR="0010125C" w:rsidRDefault="0010125C" w:rsidP="002E43D9">
            <w:pPr>
              <w:jc w:val="center"/>
            </w:pPr>
          </w:p>
        </w:tc>
        <w:tc>
          <w:tcPr>
            <w:tcW w:w="592" w:type="dxa"/>
          </w:tcPr>
          <w:p w14:paraId="6045BC65" w14:textId="4A8CEC48" w:rsidR="0010125C" w:rsidRDefault="0010125C" w:rsidP="002E43D9">
            <w:pPr>
              <w:jc w:val="center"/>
            </w:pPr>
            <w:r>
              <w:t>IV</w:t>
            </w:r>
          </w:p>
        </w:tc>
        <w:tc>
          <w:tcPr>
            <w:tcW w:w="6308" w:type="dxa"/>
          </w:tcPr>
          <w:p w14:paraId="6E59556A" w14:textId="47071732" w:rsidR="0010125C" w:rsidRDefault="0010125C" w:rsidP="002E43D9">
            <w:pPr>
              <w:rPr>
                <w:color w:val="000000"/>
              </w:rPr>
            </w:pPr>
            <w:r w:rsidRPr="006D007D">
              <w:t>exercise such other powers as may be conferred by this Regulation or any other law.</w:t>
            </w:r>
          </w:p>
        </w:tc>
      </w:tr>
      <w:tr w:rsidR="002E43D9" w14:paraId="0B132F5B" w14:textId="77777777" w:rsidTr="002E43D9">
        <w:trPr>
          <w:trHeight w:val="289"/>
        </w:trPr>
        <w:tc>
          <w:tcPr>
            <w:tcW w:w="10803" w:type="dxa"/>
            <w:gridSpan w:val="5"/>
          </w:tcPr>
          <w:p w14:paraId="34D03BC1" w14:textId="77777777" w:rsidR="00180EF8" w:rsidRDefault="00180EF8" w:rsidP="002E43D9">
            <w:pPr>
              <w:jc w:val="center"/>
              <w:rPr>
                <w:b/>
                <w:sz w:val="28"/>
                <w:szCs w:val="28"/>
              </w:rPr>
            </w:pPr>
          </w:p>
          <w:p w14:paraId="6464496A" w14:textId="77777777" w:rsidR="002E43D9" w:rsidRDefault="002E43D9" w:rsidP="002E43D9">
            <w:pPr>
              <w:jc w:val="center"/>
              <w:rPr>
                <w:b/>
                <w:sz w:val="28"/>
                <w:szCs w:val="28"/>
              </w:rPr>
            </w:pPr>
            <w:r>
              <w:rPr>
                <w:b/>
                <w:sz w:val="28"/>
                <w:szCs w:val="28"/>
              </w:rPr>
              <w:t>Chapter 2: Licensing and Registration</w:t>
            </w:r>
          </w:p>
          <w:p w14:paraId="7E7935D5" w14:textId="6D1AB64B" w:rsidR="00180EF8" w:rsidRDefault="00180EF8" w:rsidP="002E43D9">
            <w:pPr>
              <w:jc w:val="center"/>
              <w:rPr>
                <w:b/>
                <w:sz w:val="28"/>
                <w:szCs w:val="28"/>
              </w:rPr>
            </w:pPr>
          </w:p>
        </w:tc>
      </w:tr>
      <w:tr w:rsidR="002E43D9" w14:paraId="0AECD8EC" w14:textId="77777777" w:rsidTr="002E43D9">
        <w:trPr>
          <w:trHeight w:val="289"/>
        </w:trPr>
        <w:tc>
          <w:tcPr>
            <w:tcW w:w="2880" w:type="dxa"/>
          </w:tcPr>
          <w:p w14:paraId="7A0C7D03" w14:textId="77777777" w:rsidR="002E43D9" w:rsidRDefault="002E43D9" w:rsidP="002E43D9">
            <w:r>
              <w:rPr>
                <w:b/>
              </w:rPr>
              <w:t>Licensing and Registration</w:t>
            </w:r>
          </w:p>
        </w:tc>
        <w:tc>
          <w:tcPr>
            <w:tcW w:w="535" w:type="dxa"/>
          </w:tcPr>
          <w:p w14:paraId="4C24DCD1" w14:textId="2A5D4030" w:rsidR="002E43D9" w:rsidRDefault="0010125C" w:rsidP="002E43D9">
            <w:r>
              <w:t>6</w:t>
            </w:r>
            <w:r w:rsidR="002E43D9">
              <w:t xml:space="preserve">. </w:t>
            </w:r>
          </w:p>
        </w:tc>
        <w:tc>
          <w:tcPr>
            <w:tcW w:w="488" w:type="dxa"/>
          </w:tcPr>
          <w:p w14:paraId="3D381A2A" w14:textId="77777777" w:rsidR="002E43D9" w:rsidRDefault="002E43D9" w:rsidP="002E43D9">
            <w:pPr>
              <w:jc w:val="center"/>
            </w:pPr>
            <w:r>
              <w:t>(a)</w:t>
            </w:r>
          </w:p>
        </w:tc>
        <w:tc>
          <w:tcPr>
            <w:tcW w:w="592" w:type="dxa"/>
          </w:tcPr>
          <w:p w14:paraId="2C5087BD" w14:textId="77777777" w:rsidR="002E43D9" w:rsidRDefault="002E43D9" w:rsidP="002E43D9">
            <w:pPr>
              <w:jc w:val="center"/>
            </w:pPr>
          </w:p>
        </w:tc>
        <w:tc>
          <w:tcPr>
            <w:tcW w:w="6308" w:type="dxa"/>
          </w:tcPr>
          <w:p w14:paraId="28742644" w14:textId="440451AB" w:rsidR="002E43D9" w:rsidRDefault="002E43D9" w:rsidP="002E43D9">
            <w:pPr>
              <w:rPr>
                <w:b/>
              </w:rPr>
            </w:pPr>
            <w:r w:rsidRPr="00D37B34">
              <w:t>No person shall carry out any Virtual Asset Activity in or from the Republic of Maldives without obtaining a license from the Authority, unless explicitly exempted by this regulation.</w:t>
            </w:r>
          </w:p>
        </w:tc>
      </w:tr>
      <w:tr w:rsidR="002E43D9" w14:paraId="5883DE97" w14:textId="77777777" w:rsidTr="002E43D9">
        <w:trPr>
          <w:trHeight w:val="289"/>
        </w:trPr>
        <w:tc>
          <w:tcPr>
            <w:tcW w:w="2880" w:type="dxa"/>
          </w:tcPr>
          <w:p w14:paraId="3B4A7D86" w14:textId="1F0159E2" w:rsidR="002E43D9" w:rsidRDefault="002E43D9" w:rsidP="002E43D9">
            <w:pPr>
              <w:rPr>
                <w:b/>
              </w:rPr>
            </w:pPr>
          </w:p>
        </w:tc>
        <w:tc>
          <w:tcPr>
            <w:tcW w:w="535" w:type="dxa"/>
          </w:tcPr>
          <w:p w14:paraId="33BE4277" w14:textId="77777777" w:rsidR="002E43D9" w:rsidRDefault="002E43D9" w:rsidP="002E43D9"/>
        </w:tc>
        <w:tc>
          <w:tcPr>
            <w:tcW w:w="488" w:type="dxa"/>
          </w:tcPr>
          <w:p w14:paraId="25089F55" w14:textId="77777777" w:rsidR="002E43D9" w:rsidRDefault="002E43D9" w:rsidP="002E43D9">
            <w:pPr>
              <w:jc w:val="center"/>
            </w:pPr>
            <w:r>
              <w:t>(b)</w:t>
            </w:r>
          </w:p>
        </w:tc>
        <w:tc>
          <w:tcPr>
            <w:tcW w:w="592" w:type="dxa"/>
          </w:tcPr>
          <w:p w14:paraId="56D53A06" w14:textId="77777777" w:rsidR="002E43D9" w:rsidRDefault="002E43D9" w:rsidP="002E43D9">
            <w:pPr>
              <w:jc w:val="center"/>
            </w:pPr>
          </w:p>
        </w:tc>
        <w:tc>
          <w:tcPr>
            <w:tcW w:w="6308" w:type="dxa"/>
          </w:tcPr>
          <w:p w14:paraId="4D1FD038" w14:textId="557C36DF" w:rsidR="002E43D9" w:rsidRDefault="002E43D9" w:rsidP="002E43D9">
            <w:r>
              <w:t xml:space="preserve">Any person intending to operate as a </w:t>
            </w:r>
            <w:r w:rsidR="0002321C">
              <w:t xml:space="preserve">Securities </w:t>
            </w:r>
            <w:r>
              <w:t xml:space="preserve">Virtual Asset Service Provider </w:t>
            </w:r>
            <w:r w:rsidR="00703F66">
              <w:t xml:space="preserve">(S-VASP) </w:t>
            </w:r>
            <w:r>
              <w:t xml:space="preserve">shall submit an application for licensing through the CMDA’s licensing portal, accompanied by all documents and information prescribed by the </w:t>
            </w:r>
            <w:r w:rsidRPr="00496FA0">
              <w:t xml:space="preserve">Authority, including </w:t>
            </w:r>
            <w:r w:rsidR="00330341" w:rsidRPr="00EF0788">
              <w:rPr>
                <w:bCs/>
              </w:rPr>
              <w:t xml:space="preserve">Securities Virtual Asset Trading Platform (SVATP) </w:t>
            </w:r>
            <w:r w:rsidR="00EF0788" w:rsidRPr="00EF0788">
              <w:rPr>
                <w:bCs/>
              </w:rPr>
              <w:t>Proposal</w:t>
            </w:r>
            <w:r w:rsidR="00330341" w:rsidRPr="00EF0788">
              <w:rPr>
                <w:bCs/>
              </w:rPr>
              <w:t xml:space="preserve"> (SVATP </w:t>
            </w:r>
            <w:r w:rsidR="00EF0788" w:rsidRPr="00EF0788">
              <w:rPr>
                <w:bCs/>
              </w:rPr>
              <w:t>Proposal</w:t>
            </w:r>
            <w:r w:rsidR="00330341" w:rsidRPr="00EF0788">
              <w:rPr>
                <w:bCs/>
              </w:rPr>
              <w:t>),</w:t>
            </w:r>
            <w:r w:rsidR="00330341">
              <w:rPr>
                <w:bCs/>
              </w:rPr>
              <w:t xml:space="preserve"> </w:t>
            </w:r>
            <w:r w:rsidRPr="00496FA0">
              <w:t>a whitepaper</w:t>
            </w:r>
            <w:r w:rsidR="006760B7" w:rsidRPr="00496FA0">
              <w:t xml:space="preserve"> </w:t>
            </w:r>
            <w:r w:rsidR="00330341">
              <w:t xml:space="preserve">and </w:t>
            </w:r>
            <w:r w:rsidRPr="00496FA0">
              <w:t>disclosure document where applicable.</w:t>
            </w:r>
            <w:r w:rsidR="00B5437B">
              <w:t xml:space="preserve"> </w:t>
            </w:r>
            <w:r w:rsidR="0006763C">
              <w:t xml:space="preserve"> </w:t>
            </w:r>
          </w:p>
        </w:tc>
      </w:tr>
      <w:tr w:rsidR="002E43D9" w14:paraId="4563C820" w14:textId="77777777" w:rsidTr="002E43D9">
        <w:trPr>
          <w:trHeight w:val="289"/>
        </w:trPr>
        <w:tc>
          <w:tcPr>
            <w:tcW w:w="2880" w:type="dxa"/>
          </w:tcPr>
          <w:p w14:paraId="55FF366C" w14:textId="36324771" w:rsidR="002E43D9" w:rsidRDefault="002E43D9" w:rsidP="002E43D9">
            <w:pPr>
              <w:rPr>
                <w:b/>
              </w:rPr>
            </w:pPr>
          </w:p>
        </w:tc>
        <w:tc>
          <w:tcPr>
            <w:tcW w:w="535" w:type="dxa"/>
          </w:tcPr>
          <w:p w14:paraId="3AD7B8D5" w14:textId="77777777" w:rsidR="002E43D9" w:rsidRDefault="002E43D9" w:rsidP="002E43D9"/>
        </w:tc>
        <w:tc>
          <w:tcPr>
            <w:tcW w:w="488" w:type="dxa"/>
          </w:tcPr>
          <w:p w14:paraId="00DA96EE" w14:textId="77777777" w:rsidR="002E43D9" w:rsidRDefault="002E43D9" w:rsidP="002E43D9">
            <w:pPr>
              <w:jc w:val="center"/>
            </w:pPr>
            <w:r>
              <w:t>(c)</w:t>
            </w:r>
          </w:p>
        </w:tc>
        <w:tc>
          <w:tcPr>
            <w:tcW w:w="592" w:type="dxa"/>
          </w:tcPr>
          <w:p w14:paraId="5CDCC9E1" w14:textId="77777777" w:rsidR="002E43D9" w:rsidRDefault="002E43D9" w:rsidP="002E43D9">
            <w:pPr>
              <w:jc w:val="center"/>
            </w:pPr>
          </w:p>
        </w:tc>
        <w:tc>
          <w:tcPr>
            <w:tcW w:w="6308" w:type="dxa"/>
          </w:tcPr>
          <w:p w14:paraId="1D399708" w14:textId="240CE2F3" w:rsidR="002E43D9" w:rsidRDefault="002E43D9" w:rsidP="002E43D9">
            <w:r>
              <w:t>The Authority shall</w:t>
            </w:r>
            <w:r w:rsidRPr="0047221A">
              <w:t xml:space="preserve">, from time to time, specify and publish the minimum content requirements for </w:t>
            </w:r>
            <w:r w:rsidR="00DE0A01">
              <w:t xml:space="preserve">SVATP details, </w:t>
            </w:r>
            <w:r w:rsidR="00F50ECF" w:rsidRPr="0047221A">
              <w:t>whitepapers</w:t>
            </w:r>
            <w:r w:rsidRPr="0047221A">
              <w:t xml:space="preserve"> and other disclosure documents on its official website.</w:t>
            </w:r>
            <w:r w:rsidR="00F50ECF">
              <w:t xml:space="preserve"> </w:t>
            </w:r>
            <w:r w:rsidR="00A9307B">
              <w:t xml:space="preserve"> </w:t>
            </w:r>
          </w:p>
        </w:tc>
      </w:tr>
      <w:tr w:rsidR="00FE25E6" w14:paraId="3F39613F" w14:textId="77777777" w:rsidTr="002E43D9">
        <w:trPr>
          <w:trHeight w:val="289"/>
        </w:trPr>
        <w:tc>
          <w:tcPr>
            <w:tcW w:w="2880" w:type="dxa"/>
          </w:tcPr>
          <w:p w14:paraId="06E837BE" w14:textId="173FA79B" w:rsidR="00FE25E6" w:rsidRDefault="00171B16" w:rsidP="002E43D9">
            <w:pPr>
              <w:rPr>
                <w:b/>
              </w:rPr>
            </w:pPr>
            <w:r>
              <w:rPr>
                <w:b/>
              </w:rPr>
              <w:t xml:space="preserve">Applicant </w:t>
            </w:r>
          </w:p>
        </w:tc>
        <w:tc>
          <w:tcPr>
            <w:tcW w:w="535" w:type="dxa"/>
          </w:tcPr>
          <w:p w14:paraId="15AF3B0F" w14:textId="50C180DD" w:rsidR="00FE25E6" w:rsidRDefault="00FE25E6" w:rsidP="002E43D9">
            <w:r>
              <w:t>7</w:t>
            </w:r>
            <w:r w:rsidR="0005533A">
              <w:t xml:space="preserve">. </w:t>
            </w:r>
          </w:p>
        </w:tc>
        <w:tc>
          <w:tcPr>
            <w:tcW w:w="488" w:type="dxa"/>
          </w:tcPr>
          <w:p w14:paraId="7E79696A" w14:textId="77777777" w:rsidR="00FE25E6" w:rsidRDefault="00FE25E6" w:rsidP="002E43D9">
            <w:pPr>
              <w:jc w:val="center"/>
            </w:pPr>
          </w:p>
        </w:tc>
        <w:tc>
          <w:tcPr>
            <w:tcW w:w="592" w:type="dxa"/>
          </w:tcPr>
          <w:p w14:paraId="12CE05D7" w14:textId="77777777" w:rsidR="00FE25E6" w:rsidRDefault="00FE25E6" w:rsidP="002E43D9">
            <w:pPr>
              <w:jc w:val="center"/>
            </w:pPr>
          </w:p>
        </w:tc>
        <w:tc>
          <w:tcPr>
            <w:tcW w:w="6308" w:type="dxa"/>
          </w:tcPr>
          <w:p w14:paraId="04C2C62D" w14:textId="709394FC" w:rsidR="00DE4C25" w:rsidRDefault="00FC4807" w:rsidP="003A51D4">
            <w:r>
              <w:t>A person seeking to operate a Securities Virtual Assets Trading Platform (SVATP) must adhere to the following requirements:</w:t>
            </w:r>
          </w:p>
        </w:tc>
      </w:tr>
      <w:tr w:rsidR="003A51D4" w14:paraId="754FECC1" w14:textId="77777777" w:rsidTr="002E43D9">
        <w:trPr>
          <w:trHeight w:val="289"/>
        </w:trPr>
        <w:tc>
          <w:tcPr>
            <w:tcW w:w="2880" w:type="dxa"/>
          </w:tcPr>
          <w:p w14:paraId="44C1762E" w14:textId="77777777" w:rsidR="003A51D4" w:rsidRDefault="003A51D4" w:rsidP="002E43D9">
            <w:pPr>
              <w:rPr>
                <w:b/>
              </w:rPr>
            </w:pPr>
          </w:p>
        </w:tc>
        <w:tc>
          <w:tcPr>
            <w:tcW w:w="535" w:type="dxa"/>
          </w:tcPr>
          <w:p w14:paraId="4CDF956E" w14:textId="77777777" w:rsidR="003A51D4" w:rsidRDefault="003A51D4" w:rsidP="002E43D9"/>
        </w:tc>
        <w:tc>
          <w:tcPr>
            <w:tcW w:w="488" w:type="dxa"/>
          </w:tcPr>
          <w:p w14:paraId="38748B2E" w14:textId="0C00E249" w:rsidR="003A51D4" w:rsidRDefault="003A51D4" w:rsidP="002E43D9">
            <w:pPr>
              <w:jc w:val="center"/>
            </w:pPr>
            <w:r>
              <w:t>(a)</w:t>
            </w:r>
          </w:p>
        </w:tc>
        <w:tc>
          <w:tcPr>
            <w:tcW w:w="592" w:type="dxa"/>
          </w:tcPr>
          <w:p w14:paraId="6A0C44F7" w14:textId="77777777" w:rsidR="003A51D4" w:rsidRDefault="003A51D4" w:rsidP="002E43D9">
            <w:pPr>
              <w:jc w:val="center"/>
            </w:pPr>
          </w:p>
        </w:tc>
        <w:tc>
          <w:tcPr>
            <w:tcW w:w="6308" w:type="dxa"/>
          </w:tcPr>
          <w:p w14:paraId="73BEAF17" w14:textId="2D2BD316" w:rsidR="003A51D4" w:rsidRDefault="003A51D4" w:rsidP="003A51D4">
            <w:r>
              <w:t>The application under this Regulation must be filed by a company duly registered in the Republic of Maldives.</w:t>
            </w:r>
          </w:p>
        </w:tc>
      </w:tr>
      <w:tr w:rsidR="003A51D4" w14:paraId="5653E574" w14:textId="77777777" w:rsidTr="002E43D9">
        <w:trPr>
          <w:trHeight w:val="289"/>
        </w:trPr>
        <w:tc>
          <w:tcPr>
            <w:tcW w:w="2880" w:type="dxa"/>
          </w:tcPr>
          <w:p w14:paraId="538F4554" w14:textId="77777777" w:rsidR="003A51D4" w:rsidRDefault="003A51D4" w:rsidP="002E43D9">
            <w:pPr>
              <w:rPr>
                <w:b/>
              </w:rPr>
            </w:pPr>
          </w:p>
        </w:tc>
        <w:tc>
          <w:tcPr>
            <w:tcW w:w="535" w:type="dxa"/>
          </w:tcPr>
          <w:p w14:paraId="3A639489" w14:textId="77777777" w:rsidR="003A51D4" w:rsidRDefault="003A51D4" w:rsidP="002E43D9"/>
        </w:tc>
        <w:tc>
          <w:tcPr>
            <w:tcW w:w="488" w:type="dxa"/>
          </w:tcPr>
          <w:p w14:paraId="194630A0" w14:textId="5316D211" w:rsidR="003A51D4" w:rsidRDefault="003A51D4" w:rsidP="002E43D9">
            <w:pPr>
              <w:jc w:val="center"/>
            </w:pPr>
            <w:r>
              <w:t>(b)</w:t>
            </w:r>
          </w:p>
        </w:tc>
        <w:tc>
          <w:tcPr>
            <w:tcW w:w="592" w:type="dxa"/>
          </w:tcPr>
          <w:p w14:paraId="34C43055" w14:textId="77777777" w:rsidR="003A51D4" w:rsidRDefault="003A51D4" w:rsidP="002E43D9">
            <w:pPr>
              <w:jc w:val="center"/>
            </w:pPr>
          </w:p>
        </w:tc>
        <w:tc>
          <w:tcPr>
            <w:tcW w:w="6308" w:type="dxa"/>
          </w:tcPr>
          <w:p w14:paraId="657F0E49" w14:textId="559AFFA0" w:rsidR="003A51D4" w:rsidRDefault="003A51D4" w:rsidP="003A51D4">
            <w:r>
              <w:t>The legal entity specified in subsection (a) shall only operate the SVATP unless the prior written approval of the Authority is obtained to conduct any other activities.</w:t>
            </w:r>
          </w:p>
        </w:tc>
      </w:tr>
      <w:tr w:rsidR="003A51D4" w14:paraId="3B494D98" w14:textId="77777777" w:rsidTr="002E43D9">
        <w:trPr>
          <w:trHeight w:val="289"/>
        </w:trPr>
        <w:tc>
          <w:tcPr>
            <w:tcW w:w="2880" w:type="dxa"/>
          </w:tcPr>
          <w:p w14:paraId="16F0F003" w14:textId="77777777" w:rsidR="003A51D4" w:rsidRDefault="003A51D4" w:rsidP="002E43D9">
            <w:pPr>
              <w:rPr>
                <w:b/>
              </w:rPr>
            </w:pPr>
          </w:p>
        </w:tc>
        <w:tc>
          <w:tcPr>
            <w:tcW w:w="535" w:type="dxa"/>
          </w:tcPr>
          <w:p w14:paraId="34344E8D" w14:textId="77777777" w:rsidR="003A51D4" w:rsidRDefault="003A51D4" w:rsidP="002E43D9"/>
        </w:tc>
        <w:tc>
          <w:tcPr>
            <w:tcW w:w="488" w:type="dxa"/>
          </w:tcPr>
          <w:p w14:paraId="55B6382F" w14:textId="7B29A743" w:rsidR="003A51D4" w:rsidRDefault="003A51D4" w:rsidP="002E43D9">
            <w:pPr>
              <w:jc w:val="center"/>
            </w:pPr>
            <w:r>
              <w:t>(c)</w:t>
            </w:r>
          </w:p>
        </w:tc>
        <w:tc>
          <w:tcPr>
            <w:tcW w:w="592" w:type="dxa"/>
          </w:tcPr>
          <w:p w14:paraId="4A964F6C" w14:textId="77777777" w:rsidR="003A51D4" w:rsidRDefault="003A51D4" w:rsidP="002E43D9">
            <w:pPr>
              <w:jc w:val="center"/>
            </w:pPr>
          </w:p>
        </w:tc>
        <w:tc>
          <w:tcPr>
            <w:tcW w:w="6308" w:type="dxa"/>
          </w:tcPr>
          <w:p w14:paraId="15DF823B" w14:textId="2BBEDFAE" w:rsidR="003A51D4" w:rsidRDefault="003A51D4" w:rsidP="003A51D4">
            <w:r>
              <w:t xml:space="preserve">Where the Authority grants approval under subsection (b) for the entity to conduct other activities, the entity must establish and strictly enforce robust internal rules and mechanisms to ensure the functional and operational segregation of the Securities Virtual Assets Services from all other permitted activities. </w:t>
            </w:r>
          </w:p>
          <w:p w14:paraId="0371AEBD" w14:textId="77777777" w:rsidR="003A51D4" w:rsidRDefault="003A51D4" w:rsidP="00FC4807"/>
        </w:tc>
      </w:tr>
      <w:tr w:rsidR="002E43D9" w14:paraId="3172EC80" w14:textId="77777777" w:rsidTr="002E43D9">
        <w:trPr>
          <w:trHeight w:val="289"/>
        </w:trPr>
        <w:tc>
          <w:tcPr>
            <w:tcW w:w="2880" w:type="dxa"/>
          </w:tcPr>
          <w:p w14:paraId="200152A3" w14:textId="77777777" w:rsidR="002E43D9" w:rsidRDefault="002E43D9" w:rsidP="002E43D9">
            <w:pPr>
              <w:rPr>
                <w:b/>
              </w:rPr>
            </w:pPr>
            <w:r>
              <w:rPr>
                <w:b/>
                <w:color w:val="000000"/>
              </w:rPr>
              <w:t>Application Review Process</w:t>
            </w:r>
          </w:p>
        </w:tc>
        <w:tc>
          <w:tcPr>
            <w:tcW w:w="535" w:type="dxa"/>
          </w:tcPr>
          <w:p w14:paraId="6DCBF6FA" w14:textId="686A3739" w:rsidR="002E43D9" w:rsidRDefault="009F595D" w:rsidP="002E43D9">
            <w:r>
              <w:t>8</w:t>
            </w:r>
            <w:r w:rsidR="002E43D9">
              <w:t>.</w:t>
            </w:r>
          </w:p>
        </w:tc>
        <w:tc>
          <w:tcPr>
            <w:tcW w:w="488" w:type="dxa"/>
          </w:tcPr>
          <w:p w14:paraId="44CEC4C3" w14:textId="77777777" w:rsidR="002E43D9" w:rsidRDefault="002E43D9" w:rsidP="002E43D9">
            <w:pPr>
              <w:jc w:val="center"/>
            </w:pPr>
            <w:r>
              <w:t>(a)</w:t>
            </w:r>
          </w:p>
        </w:tc>
        <w:tc>
          <w:tcPr>
            <w:tcW w:w="592" w:type="dxa"/>
          </w:tcPr>
          <w:p w14:paraId="4B5F5511" w14:textId="77777777" w:rsidR="002E43D9" w:rsidRDefault="002E43D9" w:rsidP="002E43D9">
            <w:pPr>
              <w:jc w:val="center"/>
            </w:pPr>
          </w:p>
        </w:tc>
        <w:tc>
          <w:tcPr>
            <w:tcW w:w="6308" w:type="dxa"/>
          </w:tcPr>
          <w:p w14:paraId="234F3A0E" w14:textId="13E9ADAE" w:rsidR="002E43D9" w:rsidRDefault="002E43D9" w:rsidP="002E43D9">
            <w:r>
              <w:rPr>
                <w:color w:val="000000"/>
              </w:rPr>
              <w:t xml:space="preserve">Applications for </w:t>
            </w:r>
            <w:r w:rsidR="00727101">
              <w:t>Securities Virtual Asset Service Provider</w:t>
            </w:r>
            <w:r w:rsidR="00BD61CC">
              <w:t xml:space="preserve"> (S-VASP)</w:t>
            </w:r>
            <w:r>
              <w:rPr>
                <w:color w:val="000000"/>
              </w:rPr>
              <w:t xml:space="preserve"> shall be submitted in the prescribed form.</w:t>
            </w:r>
            <w:r w:rsidR="00BD61CC">
              <w:rPr>
                <w:color w:val="000000"/>
              </w:rPr>
              <w:t xml:space="preserve"> </w:t>
            </w:r>
          </w:p>
        </w:tc>
      </w:tr>
      <w:tr w:rsidR="002E43D9" w14:paraId="7F5034D1" w14:textId="77777777" w:rsidTr="002E43D9">
        <w:trPr>
          <w:trHeight w:val="289"/>
        </w:trPr>
        <w:tc>
          <w:tcPr>
            <w:tcW w:w="2880" w:type="dxa"/>
          </w:tcPr>
          <w:p w14:paraId="20E7B3EF" w14:textId="77777777" w:rsidR="002E43D9" w:rsidRDefault="002E43D9" w:rsidP="002E43D9">
            <w:pPr>
              <w:rPr>
                <w:b/>
              </w:rPr>
            </w:pPr>
          </w:p>
        </w:tc>
        <w:tc>
          <w:tcPr>
            <w:tcW w:w="535" w:type="dxa"/>
          </w:tcPr>
          <w:p w14:paraId="73EE8B99" w14:textId="77777777" w:rsidR="002E43D9" w:rsidRDefault="002E43D9" w:rsidP="002E43D9"/>
        </w:tc>
        <w:tc>
          <w:tcPr>
            <w:tcW w:w="488" w:type="dxa"/>
          </w:tcPr>
          <w:p w14:paraId="216E5A21" w14:textId="77777777" w:rsidR="002E43D9" w:rsidRDefault="002E43D9" w:rsidP="002E43D9">
            <w:pPr>
              <w:jc w:val="center"/>
            </w:pPr>
            <w:r>
              <w:t>(b)</w:t>
            </w:r>
          </w:p>
        </w:tc>
        <w:tc>
          <w:tcPr>
            <w:tcW w:w="592" w:type="dxa"/>
          </w:tcPr>
          <w:p w14:paraId="21846D0C" w14:textId="77777777" w:rsidR="002E43D9" w:rsidRDefault="002E43D9" w:rsidP="002E43D9">
            <w:pPr>
              <w:jc w:val="center"/>
            </w:pPr>
          </w:p>
        </w:tc>
        <w:tc>
          <w:tcPr>
            <w:tcW w:w="6308" w:type="dxa"/>
          </w:tcPr>
          <w:p w14:paraId="70581CA7" w14:textId="77777777" w:rsidR="002E43D9" w:rsidRDefault="002E43D9" w:rsidP="002E43D9">
            <w:r>
              <w:rPr>
                <w:color w:val="000000"/>
              </w:rPr>
              <w:t>Preliminary Review: Authority conducts initial compliance checks.</w:t>
            </w:r>
          </w:p>
        </w:tc>
      </w:tr>
      <w:tr w:rsidR="002E43D9" w14:paraId="34FACE51" w14:textId="77777777" w:rsidTr="002E43D9">
        <w:trPr>
          <w:trHeight w:val="289"/>
        </w:trPr>
        <w:tc>
          <w:tcPr>
            <w:tcW w:w="2880" w:type="dxa"/>
          </w:tcPr>
          <w:p w14:paraId="43072365" w14:textId="77777777" w:rsidR="002E43D9" w:rsidRDefault="002E43D9" w:rsidP="002E43D9">
            <w:pPr>
              <w:rPr>
                <w:b/>
              </w:rPr>
            </w:pPr>
          </w:p>
        </w:tc>
        <w:tc>
          <w:tcPr>
            <w:tcW w:w="535" w:type="dxa"/>
          </w:tcPr>
          <w:p w14:paraId="03E5C212" w14:textId="77777777" w:rsidR="002E43D9" w:rsidRDefault="002E43D9" w:rsidP="002E43D9"/>
        </w:tc>
        <w:tc>
          <w:tcPr>
            <w:tcW w:w="488" w:type="dxa"/>
          </w:tcPr>
          <w:p w14:paraId="2052E0FE" w14:textId="77777777" w:rsidR="002E43D9" w:rsidRDefault="002E43D9" w:rsidP="002E43D9">
            <w:pPr>
              <w:jc w:val="center"/>
            </w:pPr>
            <w:r>
              <w:t>(c)</w:t>
            </w:r>
          </w:p>
        </w:tc>
        <w:tc>
          <w:tcPr>
            <w:tcW w:w="592" w:type="dxa"/>
          </w:tcPr>
          <w:p w14:paraId="268E2972" w14:textId="77777777" w:rsidR="002E43D9" w:rsidRDefault="002E43D9" w:rsidP="002E43D9">
            <w:pPr>
              <w:jc w:val="center"/>
            </w:pPr>
          </w:p>
        </w:tc>
        <w:tc>
          <w:tcPr>
            <w:tcW w:w="6308" w:type="dxa"/>
          </w:tcPr>
          <w:p w14:paraId="36D8C498" w14:textId="6BBB099C" w:rsidR="002E43D9" w:rsidRDefault="002E43D9" w:rsidP="002E43D9">
            <w:r>
              <w:rPr>
                <w:color w:val="000000"/>
              </w:rPr>
              <w:t xml:space="preserve">Committee Consideration: Authority submits applications for </w:t>
            </w:r>
            <w:r w:rsidR="00A5239F">
              <w:rPr>
                <w:color w:val="000000"/>
              </w:rPr>
              <w:t>Virtual Assets Committee</w:t>
            </w:r>
            <w:r>
              <w:rPr>
                <w:color w:val="000000"/>
              </w:rPr>
              <w:t xml:space="preserve"> review.</w:t>
            </w:r>
            <w:r w:rsidR="00B334CC">
              <w:rPr>
                <w:color w:val="000000"/>
              </w:rPr>
              <w:t xml:space="preserve"> </w:t>
            </w:r>
            <w:r w:rsidR="00A5239F">
              <w:rPr>
                <w:color w:val="000000"/>
              </w:rPr>
              <w:t xml:space="preserve"> </w:t>
            </w:r>
          </w:p>
        </w:tc>
      </w:tr>
      <w:tr w:rsidR="002E43D9" w14:paraId="04F058AF" w14:textId="77777777" w:rsidTr="002E43D9">
        <w:trPr>
          <w:trHeight w:val="289"/>
        </w:trPr>
        <w:tc>
          <w:tcPr>
            <w:tcW w:w="2880" w:type="dxa"/>
          </w:tcPr>
          <w:p w14:paraId="14C9BDC3" w14:textId="77777777" w:rsidR="002E43D9" w:rsidRDefault="002E43D9" w:rsidP="002E43D9">
            <w:pPr>
              <w:rPr>
                <w:b/>
              </w:rPr>
            </w:pPr>
          </w:p>
        </w:tc>
        <w:tc>
          <w:tcPr>
            <w:tcW w:w="535" w:type="dxa"/>
          </w:tcPr>
          <w:p w14:paraId="1A81AE7E" w14:textId="77777777" w:rsidR="002E43D9" w:rsidRDefault="002E43D9" w:rsidP="002E43D9"/>
        </w:tc>
        <w:tc>
          <w:tcPr>
            <w:tcW w:w="488" w:type="dxa"/>
          </w:tcPr>
          <w:p w14:paraId="7C0FEAA4" w14:textId="77777777" w:rsidR="002E43D9" w:rsidRDefault="002E43D9" w:rsidP="002E43D9">
            <w:pPr>
              <w:jc w:val="center"/>
            </w:pPr>
            <w:r>
              <w:t>(d)</w:t>
            </w:r>
          </w:p>
        </w:tc>
        <w:tc>
          <w:tcPr>
            <w:tcW w:w="592" w:type="dxa"/>
          </w:tcPr>
          <w:p w14:paraId="09A991BD" w14:textId="77777777" w:rsidR="002E43D9" w:rsidRDefault="002E43D9" w:rsidP="002E43D9">
            <w:pPr>
              <w:jc w:val="center"/>
            </w:pPr>
          </w:p>
        </w:tc>
        <w:tc>
          <w:tcPr>
            <w:tcW w:w="6308" w:type="dxa"/>
          </w:tcPr>
          <w:p w14:paraId="4948B263" w14:textId="11D8EAB6" w:rsidR="002E43D9" w:rsidRDefault="002E43D9" w:rsidP="002E43D9">
            <w:r>
              <w:rPr>
                <w:color w:val="000000"/>
              </w:rPr>
              <w:t xml:space="preserve">Decision: Virtual Assets Committee makes binding determinations, subject to appeal to </w:t>
            </w:r>
            <w:r w:rsidR="005C6D82">
              <w:rPr>
                <w:color w:val="000000"/>
              </w:rPr>
              <w:t xml:space="preserve">the </w:t>
            </w:r>
            <w:r>
              <w:rPr>
                <w:color w:val="000000"/>
              </w:rPr>
              <w:t>CMDA Board.</w:t>
            </w:r>
            <w:r w:rsidR="005C6D82">
              <w:rPr>
                <w:color w:val="000000"/>
              </w:rPr>
              <w:t xml:space="preserve"> </w:t>
            </w:r>
          </w:p>
        </w:tc>
      </w:tr>
      <w:tr w:rsidR="002E43D9" w14:paraId="0A11EB0D" w14:textId="77777777" w:rsidTr="002E43D9">
        <w:trPr>
          <w:trHeight w:val="863"/>
        </w:trPr>
        <w:tc>
          <w:tcPr>
            <w:tcW w:w="2880" w:type="dxa"/>
          </w:tcPr>
          <w:p w14:paraId="1386E773" w14:textId="77777777" w:rsidR="002E43D9" w:rsidRDefault="002E43D9" w:rsidP="002E43D9">
            <w:pPr>
              <w:rPr>
                <w:b/>
              </w:rPr>
            </w:pPr>
            <w:r>
              <w:rPr>
                <w:b/>
              </w:rPr>
              <w:t>Tiered Licensing Framework</w:t>
            </w:r>
          </w:p>
        </w:tc>
        <w:tc>
          <w:tcPr>
            <w:tcW w:w="535" w:type="dxa"/>
          </w:tcPr>
          <w:p w14:paraId="3969F142" w14:textId="107F8FD9" w:rsidR="002E43D9" w:rsidRDefault="009F595D" w:rsidP="002E43D9">
            <w:r>
              <w:t>9</w:t>
            </w:r>
            <w:r w:rsidR="002E43D9">
              <w:t>.</w:t>
            </w:r>
          </w:p>
        </w:tc>
        <w:tc>
          <w:tcPr>
            <w:tcW w:w="488" w:type="dxa"/>
          </w:tcPr>
          <w:p w14:paraId="30593995" w14:textId="7CE7A3D5" w:rsidR="002E43D9" w:rsidRDefault="002E43D9" w:rsidP="002E43D9">
            <w:pPr>
              <w:jc w:val="center"/>
            </w:pPr>
          </w:p>
        </w:tc>
        <w:tc>
          <w:tcPr>
            <w:tcW w:w="592" w:type="dxa"/>
          </w:tcPr>
          <w:p w14:paraId="6A02E357" w14:textId="77777777" w:rsidR="002E43D9" w:rsidRDefault="002E43D9" w:rsidP="002E43D9">
            <w:pPr>
              <w:jc w:val="center"/>
            </w:pPr>
          </w:p>
        </w:tc>
        <w:tc>
          <w:tcPr>
            <w:tcW w:w="6308" w:type="dxa"/>
          </w:tcPr>
          <w:p w14:paraId="0BD8751F" w14:textId="23501AC6" w:rsidR="002E43D9" w:rsidRDefault="002E43D9" w:rsidP="002E43D9">
            <w:pPr>
              <w:spacing w:after="160"/>
            </w:pPr>
            <w:r>
              <w:t xml:space="preserve">The Authority shall implement a tiered licensing framework based on the risk profile, transaction volume, and scale of a </w:t>
            </w:r>
            <w:r w:rsidR="00497DB1">
              <w:t>S-</w:t>
            </w:r>
            <w:r>
              <w:t>VASP's operations.</w:t>
            </w:r>
            <w:r w:rsidR="004A15EF">
              <w:t xml:space="preserve"> </w:t>
            </w:r>
          </w:p>
        </w:tc>
      </w:tr>
      <w:tr w:rsidR="002E43D9" w14:paraId="73653F61" w14:textId="77777777" w:rsidTr="002E43D9">
        <w:trPr>
          <w:trHeight w:val="289"/>
        </w:trPr>
        <w:tc>
          <w:tcPr>
            <w:tcW w:w="2880" w:type="dxa"/>
          </w:tcPr>
          <w:p w14:paraId="6C72FB75" w14:textId="77777777" w:rsidR="002E43D9" w:rsidRDefault="002E43D9" w:rsidP="002E43D9"/>
        </w:tc>
        <w:tc>
          <w:tcPr>
            <w:tcW w:w="535" w:type="dxa"/>
          </w:tcPr>
          <w:p w14:paraId="12259804" w14:textId="77777777" w:rsidR="002E43D9" w:rsidRDefault="002E43D9" w:rsidP="002E43D9"/>
        </w:tc>
        <w:tc>
          <w:tcPr>
            <w:tcW w:w="488" w:type="dxa"/>
          </w:tcPr>
          <w:p w14:paraId="47458321" w14:textId="77777777" w:rsidR="002E43D9" w:rsidRDefault="002E43D9" w:rsidP="002E43D9">
            <w:pPr>
              <w:jc w:val="center"/>
            </w:pPr>
          </w:p>
        </w:tc>
        <w:tc>
          <w:tcPr>
            <w:tcW w:w="592" w:type="dxa"/>
          </w:tcPr>
          <w:p w14:paraId="50C4733C" w14:textId="77777777" w:rsidR="002E43D9" w:rsidRDefault="002E43D9" w:rsidP="002E43D9">
            <w:pPr>
              <w:jc w:val="center"/>
            </w:pPr>
            <w:r>
              <w:t>I</w:t>
            </w:r>
          </w:p>
        </w:tc>
        <w:tc>
          <w:tcPr>
            <w:tcW w:w="6308" w:type="dxa"/>
          </w:tcPr>
          <w:p w14:paraId="1B85B45E" w14:textId="02FA2289" w:rsidR="002E43D9" w:rsidRDefault="002E43D9" w:rsidP="002E43D9">
            <w:r>
              <w:t xml:space="preserve">Tier 1 (Major </w:t>
            </w:r>
            <w:r w:rsidR="00497DB1">
              <w:t>S-</w:t>
            </w:r>
            <w:r>
              <w:t>VASPs): For entities with high transaction volumes and greater systemic exposure, subject to more stringent governance, compliance, and capital adequacy standards.</w:t>
            </w:r>
          </w:p>
        </w:tc>
      </w:tr>
      <w:tr w:rsidR="002E43D9" w14:paraId="52BD38D8" w14:textId="77777777" w:rsidTr="002E43D9">
        <w:trPr>
          <w:trHeight w:val="289"/>
        </w:trPr>
        <w:tc>
          <w:tcPr>
            <w:tcW w:w="2880" w:type="dxa"/>
          </w:tcPr>
          <w:p w14:paraId="0E3D6626" w14:textId="77777777" w:rsidR="002E43D9" w:rsidRDefault="002E43D9" w:rsidP="002E43D9"/>
        </w:tc>
        <w:tc>
          <w:tcPr>
            <w:tcW w:w="535" w:type="dxa"/>
          </w:tcPr>
          <w:p w14:paraId="648487A9" w14:textId="77777777" w:rsidR="002E43D9" w:rsidRDefault="002E43D9" w:rsidP="002E43D9"/>
        </w:tc>
        <w:tc>
          <w:tcPr>
            <w:tcW w:w="488" w:type="dxa"/>
          </w:tcPr>
          <w:p w14:paraId="4B553FA7" w14:textId="77777777" w:rsidR="002E43D9" w:rsidRDefault="002E43D9" w:rsidP="002E43D9">
            <w:pPr>
              <w:jc w:val="center"/>
            </w:pPr>
          </w:p>
        </w:tc>
        <w:tc>
          <w:tcPr>
            <w:tcW w:w="592" w:type="dxa"/>
          </w:tcPr>
          <w:p w14:paraId="2077BAAB" w14:textId="77777777" w:rsidR="002E43D9" w:rsidRDefault="002E43D9" w:rsidP="002E43D9">
            <w:pPr>
              <w:jc w:val="center"/>
            </w:pPr>
            <w:r>
              <w:t>II</w:t>
            </w:r>
          </w:p>
        </w:tc>
        <w:tc>
          <w:tcPr>
            <w:tcW w:w="6308" w:type="dxa"/>
          </w:tcPr>
          <w:p w14:paraId="2C40F329" w14:textId="632B170B" w:rsidR="002E43D9" w:rsidRDefault="002E43D9" w:rsidP="002E43D9">
            <w:r>
              <w:t>Tier 2 (</w:t>
            </w:r>
            <w:r w:rsidR="00B312D2">
              <w:t>Limited-Scope S-VASP</w:t>
            </w:r>
            <w:r>
              <w:t xml:space="preserve">): For low-volume </w:t>
            </w:r>
            <w:r w:rsidR="00472389">
              <w:t>S-</w:t>
            </w:r>
            <w:r>
              <w:t>VASPs with limited exposure and minimal capital requirements, to allow for innovation under a lighter regime.</w:t>
            </w:r>
            <w:r w:rsidR="00B312D2">
              <w:t xml:space="preserve"> </w:t>
            </w:r>
          </w:p>
        </w:tc>
      </w:tr>
      <w:tr w:rsidR="002E43D9" w14:paraId="61B27D09" w14:textId="77777777" w:rsidTr="002E43D9">
        <w:trPr>
          <w:trHeight w:val="289"/>
        </w:trPr>
        <w:tc>
          <w:tcPr>
            <w:tcW w:w="2880" w:type="dxa"/>
          </w:tcPr>
          <w:p w14:paraId="403AA537" w14:textId="77777777" w:rsidR="002E43D9" w:rsidRDefault="002E43D9" w:rsidP="002E43D9"/>
        </w:tc>
        <w:tc>
          <w:tcPr>
            <w:tcW w:w="535" w:type="dxa"/>
          </w:tcPr>
          <w:p w14:paraId="24E0F44B" w14:textId="77777777" w:rsidR="002E43D9" w:rsidRDefault="002E43D9" w:rsidP="002E43D9"/>
        </w:tc>
        <w:tc>
          <w:tcPr>
            <w:tcW w:w="488" w:type="dxa"/>
          </w:tcPr>
          <w:p w14:paraId="65089565" w14:textId="77777777" w:rsidR="002E43D9" w:rsidRDefault="002E43D9" w:rsidP="002E43D9">
            <w:pPr>
              <w:jc w:val="center"/>
            </w:pPr>
          </w:p>
        </w:tc>
        <w:tc>
          <w:tcPr>
            <w:tcW w:w="592" w:type="dxa"/>
          </w:tcPr>
          <w:p w14:paraId="15582DB8" w14:textId="77777777" w:rsidR="002E43D9" w:rsidRDefault="002E43D9" w:rsidP="002E43D9">
            <w:pPr>
              <w:jc w:val="center"/>
            </w:pPr>
            <w:r>
              <w:t>III</w:t>
            </w:r>
          </w:p>
        </w:tc>
        <w:tc>
          <w:tcPr>
            <w:tcW w:w="6308" w:type="dxa"/>
          </w:tcPr>
          <w:p w14:paraId="72DEA024" w14:textId="4F56346D" w:rsidR="002E43D9" w:rsidRDefault="002E43D9" w:rsidP="002E43D9">
            <w:r>
              <w:t xml:space="preserve">Tier 3 (Sandbox root): For innovative </w:t>
            </w:r>
            <w:r w:rsidR="00472389">
              <w:t>S-</w:t>
            </w:r>
            <w:r>
              <w:t xml:space="preserve">VASPs CMDA sandbox root can be opted. </w:t>
            </w:r>
          </w:p>
        </w:tc>
      </w:tr>
      <w:tr w:rsidR="002E43D9" w14:paraId="4675FE02" w14:textId="77777777" w:rsidTr="002E43D9">
        <w:trPr>
          <w:trHeight w:val="289"/>
        </w:trPr>
        <w:tc>
          <w:tcPr>
            <w:tcW w:w="2880" w:type="dxa"/>
          </w:tcPr>
          <w:p w14:paraId="1773BB22" w14:textId="77777777" w:rsidR="002E43D9" w:rsidRDefault="002E43D9" w:rsidP="002E43D9">
            <w:pPr>
              <w:rPr>
                <w:b/>
              </w:rPr>
            </w:pPr>
            <w:r>
              <w:rPr>
                <w:b/>
              </w:rPr>
              <w:t xml:space="preserve">General Licensing Conditions </w:t>
            </w:r>
          </w:p>
        </w:tc>
        <w:tc>
          <w:tcPr>
            <w:tcW w:w="535" w:type="dxa"/>
          </w:tcPr>
          <w:p w14:paraId="4DDEBA4D" w14:textId="0144B699" w:rsidR="002E43D9" w:rsidRDefault="0067261D" w:rsidP="002E43D9">
            <w:r>
              <w:t>10</w:t>
            </w:r>
            <w:r w:rsidR="002E43D9">
              <w:t>.</w:t>
            </w:r>
          </w:p>
        </w:tc>
        <w:tc>
          <w:tcPr>
            <w:tcW w:w="488" w:type="dxa"/>
          </w:tcPr>
          <w:p w14:paraId="749E0997" w14:textId="441A4F85" w:rsidR="002E43D9" w:rsidRDefault="002E43D9" w:rsidP="008408D8"/>
        </w:tc>
        <w:tc>
          <w:tcPr>
            <w:tcW w:w="592" w:type="dxa"/>
          </w:tcPr>
          <w:p w14:paraId="6DE2DC17" w14:textId="77777777" w:rsidR="002E43D9" w:rsidRDefault="002E43D9" w:rsidP="002E43D9">
            <w:pPr>
              <w:jc w:val="center"/>
            </w:pPr>
          </w:p>
        </w:tc>
        <w:tc>
          <w:tcPr>
            <w:tcW w:w="6308" w:type="dxa"/>
          </w:tcPr>
          <w:p w14:paraId="33225079" w14:textId="4722F049" w:rsidR="002E43D9" w:rsidRDefault="002E43D9" w:rsidP="002E43D9">
            <w:r>
              <w:t xml:space="preserve">All applicants for a </w:t>
            </w:r>
            <w:r w:rsidR="008E6E3F">
              <w:t>S-</w:t>
            </w:r>
            <w:r>
              <w:t>VASP license, regardless of Tier, shall meet the following conditions:</w:t>
            </w:r>
          </w:p>
        </w:tc>
      </w:tr>
      <w:tr w:rsidR="002E43D9" w14:paraId="3101D2C0" w14:textId="77777777" w:rsidTr="002E43D9">
        <w:trPr>
          <w:trHeight w:val="289"/>
        </w:trPr>
        <w:tc>
          <w:tcPr>
            <w:tcW w:w="2880" w:type="dxa"/>
          </w:tcPr>
          <w:p w14:paraId="379E7A94" w14:textId="77777777" w:rsidR="002E43D9" w:rsidRDefault="002E43D9" w:rsidP="002E43D9"/>
        </w:tc>
        <w:tc>
          <w:tcPr>
            <w:tcW w:w="535" w:type="dxa"/>
          </w:tcPr>
          <w:p w14:paraId="55D1502A" w14:textId="77777777" w:rsidR="002E43D9" w:rsidRDefault="002E43D9" w:rsidP="002E43D9"/>
        </w:tc>
        <w:tc>
          <w:tcPr>
            <w:tcW w:w="488" w:type="dxa"/>
          </w:tcPr>
          <w:p w14:paraId="59FD3146" w14:textId="77777777" w:rsidR="002E43D9" w:rsidRDefault="002E43D9" w:rsidP="002E43D9">
            <w:pPr>
              <w:jc w:val="center"/>
            </w:pPr>
          </w:p>
        </w:tc>
        <w:tc>
          <w:tcPr>
            <w:tcW w:w="592" w:type="dxa"/>
          </w:tcPr>
          <w:p w14:paraId="61583859" w14:textId="77777777" w:rsidR="002E43D9" w:rsidRDefault="002E43D9" w:rsidP="002E43D9">
            <w:pPr>
              <w:jc w:val="center"/>
            </w:pPr>
            <w:r>
              <w:t>I</w:t>
            </w:r>
          </w:p>
        </w:tc>
        <w:tc>
          <w:tcPr>
            <w:tcW w:w="6308" w:type="dxa"/>
          </w:tcPr>
          <w:p w14:paraId="10769A15" w14:textId="77777777" w:rsidR="002E43D9" w:rsidRDefault="002E43D9" w:rsidP="002E43D9">
            <w:r>
              <w:t>Be a company incorporated under the Companies Act of the Maldives, maintaining a physical presence and principal place of business in the Maldives.</w:t>
            </w:r>
          </w:p>
        </w:tc>
      </w:tr>
      <w:tr w:rsidR="002E43D9" w14:paraId="7084CB8D" w14:textId="77777777" w:rsidTr="002E43D9">
        <w:trPr>
          <w:trHeight w:val="289"/>
        </w:trPr>
        <w:tc>
          <w:tcPr>
            <w:tcW w:w="2880" w:type="dxa"/>
          </w:tcPr>
          <w:p w14:paraId="358211C7" w14:textId="77777777" w:rsidR="002E43D9" w:rsidRDefault="002E43D9" w:rsidP="002E43D9"/>
        </w:tc>
        <w:tc>
          <w:tcPr>
            <w:tcW w:w="535" w:type="dxa"/>
          </w:tcPr>
          <w:p w14:paraId="59F0D7EF" w14:textId="77777777" w:rsidR="002E43D9" w:rsidRDefault="002E43D9" w:rsidP="002E43D9"/>
        </w:tc>
        <w:tc>
          <w:tcPr>
            <w:tcW w:w="488" w:type="dxa"/>
          </w:tcPr>
          <w:p w14:paraId="0798C119" w14:textId="77777777" w:rsidR="002E43D9" w:rsidRDefault="002E43D9" w:rsidP="002E43D9">
            <w:pPr>
              <w:jc w:val="center"/>
            </w:pPr>
          </w:p>
        </w:tc>
        <w:tc>
          <w:tcPr>
            <w:tcW w:w="592" w:type="dxa"/>
          </w:tcPr>
          <w:p w14:paraId="0A348452" w14:textId="350F97AB" w:rsidR="002E43D9" w:rsidRDefault="002E43D9" w:rsidP="002E43D9">
            <w:pPr>
              <w:jc w:val="center"/>
            </w:pPr>
            <w:r>
              <w:t>II</w:t>
            </w:r>
          </w:p>
        </w:tc>
        <w:tc>
          <w:tcPr>
            <w:tcW w:w="6308" w:type="dxa"/>
          </w:tcPr>
          <w:p w14:paraId="1BC50606" w14:textId="77777777" w:rsidR="002E43D9" w:rsidRDefault="002E43D9" w:rsidP="002E43D9">
            <w:r>
              <w:t>Demonstrate adequate capital thresholds and operational resilience procedures.</w:t>
            </w:r>
          </w:p>
        </w:tc>
      </w:tr>
      <w:tr w:rsidR="002E43D9" w14:paraId="32C3BE6C" w14:textId="77777777" w:rsidTr="002E43D9">
        <w:trPr>
          <w:trHeight w:val="289"/>
        </w:trPr>
        <w:tc>
          <w:tcPr>
            <w:tcW w:w="2880" w:type="dxa"/>
          </w:tcPr>
          <w:p w14:paraId="3181C2FB" w14:textId="77777777" w:rsidR="002E43D9" w:rsidRDefault="002E43D9" w:rsidP="002E43D9"/>
        </w:tc>
        <w:tc>
          <w:tcPr>
            <w:tcW w:w="535" w:type="dxa"/>
          </w:tcPr>
          <w:p w14:paraId="5A21DA3E" w14:textId="77777777" w:rsidR="002E43D9" w:rsidRDefault="002E43D9" w:rsidP="002E43D9"/>
        </w:tc>
        <w:tc>
          <w:tcPr>
            <w:tcW w:w="488" w:type="dxa"/>
          </w:tcPr>
          <w:p w14:paraId="5FBE6C2A" w14:textId="77777777" w:rsidR="002E43D9" w:rsidRDefault="002E43D9" w:rsidP="002E43D9">
            <w:pPr>
              <w:jc w:val="center"/>
            </w:pPr>
          </w:p>
        </w:tc>
        <w:tc>
          <w:tcPr>
            <w:tcW w:w="592" w:type="dxa"/>
          </w:tcPr>
          <w:p w14:paraId="274879D3" w14:textId="4D60C8D3" w:rsidR="002E43D9" w:rsidRDefault="002E43D9" w:rsidP="002E43D9">
            <w:pPr>
              <w:jc w:val="center"/>
            </w:pPr>
            <w:r>
              <w:t>I</w:t>
            </w:r>
            <w:r w:rsidR="00986C75">
              <w:t>II</w:t>
            </w:r>
          </w:p>
        </w:tc>
        <w:tc>
          <w:tcPr>
            <w:tcW w:w="6308" w:type="dxa"/>
          </w:tcPr>
          <w:p w14:paraId="22766314" w14:textId="0F9AB07E" w:rsidR="002E43D9" w:rsidRDefault="002E43D9" w:rsidP="002E43D9">
            <w:r>
              <w:t>Segregate client assets from proprietary funds.</w:t>
            </w:r>
            <w:r w:rsidR="00FA5765">
              <w:t xml:space="preserve"> </w:t>
            </w:r>
          </w:p>
        </w:tc>
      </w:tr>
      <w:tr w:rsidR="002E43D9" w14:paraId="64EE266E" w14:textId="77777777" w:rsidTr="002E43D9">
        <w:trPr>
          <w:trHeight w:val="289"/>
        </w:trPr>
        <w:tc>
          <w:tcPr>
            <w:tcW w:w="2880" w:type="dxa"/>
          </w:tcPr>
          <w:p w14:paraId="1A6D0C01" w14:textId="77777777" w:rsidR="002E43D9" w:rsidRDefault="002E43D9" w:rsidP="002E43D9">
            <w:pPr>
              <w:rPr>
                <w:b/>
              </w:rPr>
            </w:pPr>
            <w:r>
              <w:rPr>
                <w:b/>
              </w:rPr>
              <w:t>Eligibility Criteria for Licensing Tiers</w:t>
            </w:r>
          </w:p>
        </w:tc>
        <w:tc>
          <w:tcPr>
            <w:tcW w:w="535" w:type="dxa"/>
          </w:tcPr>
          <w:p w14:paraId="647242E0" w14:textId="413236E9" w:rsidR="002E43D9" w:rsidRDefault="0010125C" w:rsidP="002E43D9">
            <w:r>
              <w:t>1</w:t>
            </w:r>
            <w:r w:rsidR="0067261D">
              <w:t>1</w:t>
            </w:r>
            <w:r w:rsidR="002E43D9">
              <w:t>.</w:t>
            </w:r>
          </w:p>
        </w:tc>
        <w:tc>
          <w:tcPr>
            <w:tcW w:w="488" w:type="dxa"/>
          </w:tcPr>
          <w:p w14:paraId="0E7C7447" w14:textId="77777777" w:rsidR="002E43D9" w:rsidRDefault="002E43D9" w:rsidP="002E43D9">
            <w:pPr>
              <w:jc w:val="center"/>
            </w:pPr>
            <w:r>
              <w:t>(a)</w:t>
            </w:r>
          </w:p>
        </w:tc>
        <w:tc>
          <w:tcPr>
            <w:tcW w:w="592" w:type="dxa"/>
          </w:tcPr>
          <w:p w14:paraId="578586A8" w14:textId="77777777" w:rsidR="002E43D9" w:rsidRDefault="002E43D9" w:rsidP="002E43D9">
            <w:pPr>
              <w:jc w:val="center"/>
            </w:pPr>
          </w:p>
        </w:tc>
        <w:tc>
          <w:tcPr>
            <w:tcW w:w="6308" w:type="dxa"/>
          </w:tcPr>
          <w:p w14:paraId="388BC415" w14:textId="0D73EC47" w:rsidR="002E43D9" w:rsidRDefault="002E43D9" w:rsidP="002E43D9">
            <w:pPr>
              <w:rPr>
                <w:color w:val="FF0000"/>
              </w:rPr>
            </w:pPr>
            <w:r>
              <w:t xml:space="preserve">Tier 1 – License (Major </w:t>
            </w:r>
            <w:r w:rsidR="00FC13C4">
              <w:t xml:space="preserve">S- </w:t>
            </w:r>
            <w:r>
              <w:t>VASP)</w:t>
            </w:r>
          </w:p>
        </w:tc>
      </w:tr>
      <w:tr w:rsidR="002E43D9" w14:paraId="4624F417" w14:textId="77777777" w:rsidTr="002E43D9">
        <w:trPr>
          <w:trHeight w:val="289"/>
        </w:trPr>
        <w:tc>
          <w:tcPr>
            <w:tcW w:w="2880" w:type="dxa"/>
          </w:tcPr>
          <w:p w14:paraId="1F452AC5" w14:textId="77777777" w:rsidR="002E43D9" w:rsidRDefault="002E43D9" w:rsidP="002E43D9">
            <w:pPr>
              <w:rPr>
                <w:b/>
              </w:rPr>
            </w:pPr>
          </w:p>
        </w:tc>
        <w:tc>
          <w:tcPr>
            <w:tcW w:w="535" w:type="dxa"/>
          </w:tcPr>
          <w:p w14:paraId="3B86951E" w14:textId="77777777" w:rsidR="002E43D9" w:rsidRDefault="002E43D9" w:rsidP="002E43D9"/>
        </w:tc>
        <w:tc>
          <w:tcPr>
            <w:tcW w:w="488" w:type="dxa"/>
          </w:tcPr>
          <w:p w14:paraId="351379AA" w14:textId="77777777" w:rsidR="002E43D9" w:rsidRDefault="002E43D9" w:rsidP="002E43D9">
            <w:pPr>
              <w:jc w:val="center"/>
            </w:pPr>
          </w:p>
        </w:tc>
        <w:tc>
          <w:tcPr>
            <w:tcW w:w="592" w:type="dxa"/>
          </w:tcPr>
          <w:p w14:paraId="472F3976" w14:textId="77777777" w:rsidR="002E43D9" w:rsidRDefault="002E43D9" w:rsidP="002E43D9">
            <w:pPr>
              <w:jc w:val="center"/>
            </w:pPr>
            <w:r>
              <w:t>I</w:t>
            </w:r>
          </w:p>
        </w:tc>
        <w:tc>
          <w:tcPr>
            <w:tcW w:w="6308" w:type="dxa"/>
          </w:tcPr>
          <w:p w14:paraId="79BC4160" w14:textId="77777777" w:rsidR="002E43D9" w:rsidRDefault="002E43D9" w:rsidP="002E43D9">
            <w:pPr>
              <w:rPr>
                <w:color w:val="FF0000"/>
              </w:rPr>
            </w:pPr>
            <w:r>
              <w:t>Minimum paid-up capital: MVR 2,000,000;</w:t>
            </w:r>
          </w:p>
        </w:tc>
      </w:tr>
      <w:tr w:rsidR="002E43D9" w14:paraId="6B527464" w14:textId="77777777" w:rsidTr="002E43D9">
        <w:trPr>
          <w:trHeight w:val="289"/>
        </w:trPr>
        <w:tc>
          <w:tcPr>
            <w:tcW w:w="2880" w:type="dxa"/>
          </w:tcPr>
          <w:p w14:paraId="12B4E5B5" w14:textId="77777777" w:rsidR="002E43D9" w:rsidRDefault="002E43D9" w:rsidP="002E43D9">
            <w:pPr>
              <w:rPr>
                <w:b/>
              </w:rPr>
            </w:pPr>
          </w:p>
        </w:tc>
        <w:tc>
          <w:tcPr>
            <w:tcW w:w="535" w:type="dxa"/>
          </w:tcPr>
          <w:p w14:paraId="40DD11F1" w14:textId="77777777" w:rsidR="002E43D9" w:rsidRDefault="002E43D9" w:rsidP="002E43D9"/>
        </w:tc>
        <w:tc>
          <w:tcPr>
            <w:tcW w:w="488" w:type="dxa"/>
          </w:tcPr>
          <w:p w14:paraId="7C06256F" w14:textId="77777777" w:rsidR="002E43D9" w:rsidRDefault="002E43D9" w:rsidP="002E43D9">
            <w:pPr>
              <w:jc w:val="center"/>
            </w:pPr>
          </w:p>
        </w:tc>
        <w:tc>
          <w:tcPr>
            <w:tcW w:w="592" w:type="dxa"/>
          </w:tcPr>
          <w:p w14:paraId="12D72031" w14:textId="77777777" w:rsidR="002E43D9" w:rsidRDefault="002E43D9" w:rsidP="002E43D9">
            <w:pPr>
              <w:jc w:val="center"/>
            </w:pPr>
            <w:r>
              <w:t>II</w:t>
            </w:r>
          </w:p>
        </w:tc>
        <w:tc>
          <w:tcPr>
            <w:tcW w:w="6308" w:type="dxa"/>
          </w:tcPr>
          <w:p w14:paraId="61FABDDB" w14:textId="26A777BA" w:rsidR="002E43D9" w:rsidRDefault="002E43D9" w:rsidP="002E43D9">
            <w:pPr>
              <w:rPr>
                <w:color w:val="FF0000"/>
              </w:rPr>
            </w:pPr>
            <w:r>
              <w:t xml:space="preserve">Aggregate client assets or monthly transaction volumes exceeding Tier </w:t>
            </w:r>
            <w:r w:rsidR="000D2273">
              <w:t>2</w:t>
            </w:r>
            <w:r>
              <w:t xml:space="preserve"> thresholds;</w:t>
            </w:r>
          </w:p>
        </w:tc>
      </w:tr>
      <w:tr w:rsidR="0075552D" w14:paraId="3AB53384" w14:textId="77777777" w:rsidTr="002E43D9">
        <w:trPr>
          <w:trHeight w:val="289"/>
        </w:trPr>
        <w:tc>
          <w:tcPr>
            <w:tcW w:w="2880" w:type="dxa"/>
          </w:tcPr>
          <w:p w14:paraId="42328313" w14:textId="77777777" w:rsidR="0075552D" w:rsidRDefault="0075552D" w:rsidP="0075552D">
            <w:pPr>
              <w:rPr>
                <w:b/>
              </w:rPr>
            </w:pPr>
          </w:p>
        </w:tc>
        <w:tc>
          <w:tcPr>
            <w:tcW w:w="535" w:type="dxa"/>
          </w:tcPr>
          <w:p w14:paraId="26DB4D7E" w14:textId="77777777" w:rsidR="0075552D" w:rsidRDefault="0075552D" w:rsidP="0075552D"/>
        </w:tc>
        <w:tc>
          <w:tcPr>
            <w:tcW w:w="488" w:type="dxa"/>
          </w:tcPr>
          <w:p w14:paraId="4638A03B" w14:textId="77777777" w:rsidR="0075552D" w:rsidRDefault="0075552D" w:rsidP="0075552D">
            <w:pPr>
              <w:jc w:val="center"/>
            </w:pPr>
          </w:p>
        </w:tc>
        <w:tc>
          <w:tcPr>
            <w:tcW w:w="592" w:type="dxa"/>
          </w:tcPr>
          <w:p w14:paraId="0567DFE3" w14:textId="21E113C4" w:rsidR="0075552D" w:rsidRDefault="0075552D" w:rsidP="0075552D">
            <w:pPr>
              <w:jc w:val="center"/>
            </w:pPr>
            <w:r>
              <w:t>II</w:t>
            </w:r>
            <w:r w:rsidR="008B5B41">
              <w:t>I</w:t>
            </w:r>
          </w:p>
        </w:tc>
        <w:tc>
          <w:tcPr>
            <w:tcW w:w="6308" w:type="dxa"/>
          </w:tcPr>
          <w:p w14:paraId="7D04C2E1" w14:textId="2D3E2224" w:rsidR="0075552D" w:rsidRDefault="0075552D" w:rsidP="0075552D">
            <w:r>
              <w:t>More than 500 active users;</w:t>
            </w:r>
          </w:p>
        </w:tc>
      </w:tr>
      <w:tr w:rsidR="0075552D" w14:paraId="7EAB7F86" w14:textId="77777777" w:rsidTr="002E43D9">
        <w:trPr>
          <w:trHeight w:val="289"/>
        </w:trPr>
        <w:tc>
          <w:tcPr>
            <w:tcW w:w="2880" w:type="dxa"/>
          </w:tcPr>
          <w:p w14:paraId="55480781" w14:textId="77777777" w:rsidR="0075552D" w:rsidRDefault="0075552D" w:rsidP="0075552D">
            <w:pPr>
              <w:rPr>
                <w:b/>
              </w:rPr>
            </w:pPr>
          </w:p>
        </w:tc>
        <w:tc>
          <w:tcPr>
            <w:tcW w:w="535" w:type="dxa"/>
          </w:tcPr>
          <w:p w14:paraId="4754BE59" w14:textId="77777777" w:rsidR="0075552D" w:rsidRDefault="0075552D" w:rsidP="0075552D"/>
        </w:tc>
        <w:tc>
          <w:tcPr>
            <w:tcW w:w="488" w:type="dxa"/>
          </w:tcPr>
          <w:p w14:paraId="1917380C" w14:textId="77777777" w:rsidR="0075552D" w:rsidRDefault="0075552D" w:rsidP="0075552D">
            <w:pPr>
              <w:jc w:val="center"/>
            </w:pPr>
          </w:p>
        </w:tc>
        <w:tc>
          <w:tcPr>
            <w:tcW w:w="592" w:type="dxa"/>
          </w:tcPr>
          <w:p w14:paraId="2ACDE46D" w14:textId="731937F4" w:rsidR="0075552D" w:rsidRDefault="008B5B41" w:rsidP="0075552D">
            <w:pPr>
              <w:jc w:val="center"/>
            </w:pPr>
            <w:r>
              <w:t>IV</w:t>
            </w:r>
          </w:p>
        </w:tc>
        <w:tc>
          <w:tcPr>
            <w:tcW w:w="6308" w:type="dxa"/>
          </w:tcPr>
          <w:p w14:paraId="37C0E8B0" w14:textId="77777777" w:rsidR="0075552D" w:rsidRDefault="0075552D" w:rsidP="0075552D">
            <w:pPr>
              <w:rPr>
                <w:color w:val="FF0000"/>
              </w:rPr>
            </w:pPr>
            <w:r>
              <w:t>Demonstrated operational and financial capacity;</w:t>
            </w:r>
          </w:p>
        </w:tc>
      </w:tr>
      <w:tr w:rsidR="0075552D" w14:paraId="77F8E00B" w14:textId="77777777" w:rsidTr="002E43D9">
        <w:trPr>
          <w:trHeight w:val="289"/>
        </w:trPr>
        <w:tc>
          <w:tcPr>
            <w:tcW w:w="2880" w:type="dxa"/>
          </w:tcPr>
          <w:p w14:paraId="144844D9" w14:textId="77777777" w:rsidR="0075552D" w:rsidRDefault="0075552D" w:rsidP="0075552D">
            <w:pPr>
              <w:rPr>
                <w:b/>
              </w:rPr>
            </w:pPr>
          </w:p>
        </w:tc>
        <w:tc>
          <w:tcPr>
            <w:tcW w:w="535" w:type="dxa"/>
          </w:tcPr>
          <w:p w14:paraId="3385F467" w14:textId="77777777" w:rsidR="0075552D" w:rsidRDefault="0075552D" w:rsidP="0075552D"/>
        </w:tc>
        <w:tc>
          <w:tcPr>
            <w:tcW w:w="488" w:type="dxa"/>
          </w:tcPr>
          <w:p w14:paraId="34FDD668" w14:textId="77777777" w:rsidR="0075552D" w:rsidRDefault="0075552D" w:rsidP="0075552D">
            <w:pPr>
              <w:jc w:val="center"/>
            </w:pPr>
          </w:p>
        </w:tc>
        <w:tc>
          <w:tcPr>
            <w:tcW w:w="592" w:type="dxa"/>
          </w:tcPr>
          <w:p w14:paraId="09171619" w14:textId="29847D4F" w:rsidR="0075552D" w:rsidRDefault="0075552D" w:rsidP="0075552D">
            <w:pPr>
              <w:jc w:val="center"/>
            </w:pPr>
            <w:r>
              <w:t>V</w:t>
            </w:r>
          </w:p>
        </w:tc>
        <w:tc>
          <w:tcPr>
            <w:tcW w:w="6308" w:type="dxa"/>
          </w:tcPr>
          <w:p w14:paraId="55B7670A" w14:textId="77777777" w:rsidR="0075552D" w:rsidRDefault="0075552D" w:rsidP="0075552D">
            <w:pPr>
              <w:rPr>
                <w:color w:val="FF0000"/>
              </w:rPr>
            </w:pPr>
            <w:r>
              <w:t>Subject to comprehensive governance, audit, AML/CFT, and cybersecurity standards.</w:t>
            </w:r>
          </w:p>
        </w:tc>
      </w:tr>
      <w:tr w:rsidR="0075552D" w14:paraId="7CB36FA3" w14:textId="77777777" w:rsidTr="002E43D9">
        <w:trPr>
          <w:trHeight w:val="289"/>
        </w:trPr>
        <w:tc>
          <w:tcPr>
            <w:tcW w:w="2880" w:type="dxa"/>
          </w:tcPr>
          <w:p w14:paraId="21B7F80A" w14:textId="77777777" w:rsidR="0075552D" w:rsidRDefault="0075552D" w:rsidP="0075552D">
            <w:pPr>
              <w:rPr>
                <w:b/>
              </w:rPr>
            </w:pPr>
          </w:p>
        </w:tc>
        <w:tc>
          <w:tcPr>
            <w:tcW w:w="535" w:type="dxa"/>
          </w:tcPr>
          <w:p w14:paraId="29B35CCB" w14:textId="77777777" w:rsidR="0075552D" w:rsidRDefault="0075552D" w:rsidP="0075552D"/>
        </w:tc>
        <w:tc>
          <w:tcPr>
            <w:tcW w:w="488" w:type="dxa"/>
          </w:tcPr>
          <w:p w14:paraId="60FBA452" w14:textId="77777777" w:rsidR="0075552D" w:rsidRDefault="0075552D" w:rsidP="0075552D">
            <w:pPr>
              <w:jc w:val="center"/>
            </w:pPr>
            <w:r>
              <w:t>(b)</w:t>
            </w:r>
          </w:p>
        </w:tc>
        <w:tc>
          <w:tcPr>
            <w:tcW w:w="592" w:type="dxa"/>
          </w:tcPr>
          <w:p w14:paraId="30DBD00E" w14:textId="77777777" w:rsidR="0075552D" w:rsidRDefault="0075552D" w:rsidP="0075552D">
            <w:pPr>
              <w:jc w:val="center"/>
            </w:pPr>
          </w:p>
        </w:tc>
        <w:tc>
          <w:tcPr>
            <w:tcW w:w="6308" w:type="dxa"/>
          </w:tcPr>
          <w:p w14:paraId="7BC982FF" w14:textId="206A341A" w:rsidR="0075552D" w:rsidRDefault="0075552D" w:rsidP="0075552D">
            <w:pPr>
              <w:rPr>
                <w:color w:val="FF0000"/>
              </w:rPr>
            </w:pPr>
            <w:r>
              <w:t xml:space="preserve">Tier 2 – </w:t>
            </w:r>
            <w:r w:rsidR="001408BD">
              <w:t>License (</w:t>
            </w:r>
            <w:r>
              <w:t xml:space="preserve">Limited-Scope </w:t>
            </w:r>
            <w:r w:rsidR="001408BD">
              <w:t>S-</w:t>
            </w:r>
            <w:r>
              <w:t>VASP</w:t>
            </w:r>
            <w:r w:rsidR="001408BD">
              <w:t>)</w:t>
            </w:r>
          </w:p>
        </w:tc>
      </w:tr>
      <w:tr w:rsidR="0075552D" w14:paraId="3675D50C" w14:textId="77777777" w:rsidTr="002E43D9">
        <w:trPr>
          <w:trHeight w:val="289"/>
        </w:trPr>
        <w:tc>
          <w:tcPr>
            <w:tcW w:w="2880" w:type="dxa"/>
          </w:tcPr>
          <w:p w14:paraId="0ACEBBED" w14:textId="77777777" w:rsidR="0075552D" w:rsidRDefault="0075552D" w:rsidP="0075552D">
            <w:pPr>
              <w:rPr>
                <w:b/>
              </w:rPr>
            </w:pPr>
          </w:p>
        </w:tc>
        <w:tc>
          <w:tcPr>
            <w:tcW w:w="535" w:type="dxa"/>
          </w:tcPr>
          <w:p w14:paraId="380C2261" w14:textId="77777777" w:rsidR="0075552D" w:rsidRDefault="0075552D" w:rsidP="0075552D"/>
        </w:tc>
        <w:tc>
          <w:tcPr>
            <w:tcW w:w="488" w:type="dxa"/>
          </w:tcPr>
          <w:p w14:paraId="448FAE51" w14:textId="77777777" w:rsidR="0075552D" w:rsidRDefault="0075552D" w:rsidP="0075552D">
            <w:pPr>
              <w:jc w:val="center"/>
            </w:pPr>
          </w:p>
        </w:tc>
        <w:tc>
          <w:tcPr>
            <w:tcW w:w="592" w:type="dxa"/>
          </w:tcPr>
          <w:p w14:paraId="571F336A" w14:textId="77777777" w:rsidR="0075552D" w:rsidRDefault="0075552D" w:rsidP="0075552D">
            <w:pPr>
              <w:jc w:val="center"/>
            </w:pPr>
            <w:r>
              <w:t>I</w:t>
            </w:r>
          </w:p>
        </w:tc>
        <w:tc>
          <w:tcPr>
            <w:tcW w:w="6308" w:type="dxa"/>
          </w:tcPr>
          <w:p w14:paraId="6304491D" w14:textId="77777777" w:rsidR="0075552D" w:rsidRDefault="0075552D" w:rsidP="0075552D">
            <w:pPr>
              <w:rPr>
                <w:color w:val="FF0000"/>
              </w:rPr>
            </w:pPr>
            <w:r>
              <w:t>Minimum paid-up capital: MVR 500,000;</w:t>
            </w:r>
          </w:p>
        </w:tc>
      </w:tr>
      <w:tr w:rsidR="0075552D" w14:paraId="4B492DC9" w14:textId="77777777" w:rsidTr="002E43D9">
        <w:trPr>
          <w:trHeight w:val="289"/>
        </w:trPr>
        <w:tc>
          <w:tcPr>
            <w:tcW w:w="2880" w:type="dxa"/>
          </w:tcPr>
          <w:p w14:paraId="617AFC55" w14:textId="77777777" w:rsidR="0075552D" w:rsidRDefault="0075552D" w:rsidP="0075552D">
            <w:pPr>
              <w:rPr>
                <w:b/>
              </w:rPr>
            </w:pPr>
          </w:p>
        </w:tc>
        <w:tc>
          <w:tcPr>
            <w:tcW w:w="535" w:type="dxa"/>
          </w:tcPr>
          <w:p w14:paraId="462F33F4" w14:textId="77777777" w:rsidR="0075552D" w:rsidRDefault="0075552D" w:rsidP="0075552D"/>
        </w:tc>
        <w:tc>
          <w:tcPr>
            <w:tcW w:w="488" w:type="dxa"/>
          </w:tcPr>
          <w:p w14:paraId="1BE8E0C6" w14:textId="77777777" w:rsidR="0075552D" w:rsidRDefault="0075552D" w:rsidP="0075552D">
            <w:pPr>
              <w:jc w:val="center"/>
            </w:pPr>
          </w:p>
        </w:tc>
        <w:tc>
          <w:tcPr>
            <w:tcW w:w="592" w:type="dxa"/>
          </w:tcPr>
          <w:p w14:paraId="5003CA32" w14:textId="77777777" w:rsidR="0075552D" w:rsidRDefault="0075552D" w:rsidP="0075552D">
            <w:pPr>
              <w:jc w:val="center"/>
            </w:pPr>
            <w:r>
              <w:t>II</w:t>
            </w:r>
          </w:p>
        </w:tc>
        <w:tc>
          <w:tcPr>
            <w:tcW w:w="6308" w:type="dxa"/>
          </w:tcPr>
          <w:p w14:paraId="3C70B7D5" w14:textId="77777777" w:rsidR="0075552D" w:rsidRDefault="0075552D" w:rsidP="0075552D">
            <w:pPr>
              <w:rPr>
                <w:color w:val="FF0000"/>
              </w:rPr>
            </w:pPr>
            <w:r>
              <w:t>Aggregate client assets ≤ MVR 5,000,000;</w:t>
            </w:r>
          </w:p>
        </w:tc>
      </w:tr>
      <w:tr w:rsidR="0075552D" w14:paraId="41520797" w14:textId="77777777" w:rsidTr="002E43D9">
        <w:trPr>
          <w:trHeight w:val="289"/>
        </w:trPr>
        <w:tc>
          <w:tcPr>
            <w:tcW w:w="2880" w:type="dxa"/>
          </w:tcPr>
          <w:p w14:paraId="516E55D4" w14:textId="77777777" w:rsidR="0075552D" w:rsidRDefault="0075552D" w:rsidP="0075552D">
            <w:pPr>
              <w:rPr>
                <w:b/>
              </w:rPr>
            </w:pPr>
          </w:p>
        </w:tc>
        <w:tc>
          <w:tcPr>
            <w:tcW w:w="535" w:type="dxa"/>
          </w:tcPr>
          <w:p w14:paraId="10DF8FBE" w14:textId="77777777" w:rsidR="0075552D" w:rsidRDefault="0075552D" w:rsidP="0075552D"/>
        </w:tc>
        <w:tc>
          <w:tcPr>
            <w:tcW w:w="488" w:type="dxa"/>
          </w:tcPr>
          <w:p w14:paraId="6B9A2AD0" w14:textId="77777777" w:rsidR="0075552D" w:rsidRDefault="0075552D" w:rsidP="0075552D">
            <w:pPr>
              <w:jc w:val="center"/>
            </w:pPr>
          </w:p>
        </w:tc>
        <w:tc>
          <w:tcPr>
            <w:tcW w:w="592" w:type="dxa"/>
          </w:tcPr>
          <w:p w14:paraId="14694FA6" w14:textId="77777777" w:rsidR="0075552D" w:rsidRDefault="0075552D" w:rsidP="0075552D">
            <w:pPr>
              <w:jc w:val="center"/>
            </w:pPr>
            <w:r>
              <w:t>III</w:t>
            </w:r>
          </w:p>
        </w:tc>
        <w:tc>
          <w:tcPr>
            <w:tcW w:w="6308" w:type="dxa"/>
          </w:tcPr>
          <w:p w14:paraId="27213DF1" w14:textId="77777777" w:rsidR="0075552D" w:rsidRDefault="0075552D" w:rsidP="0075552D">
            <w:pPr>
              <w:rPr>
                <w:color w:val="FF0000"/>
              </w:rPr>
            </w:pPr>
            <w:r>
              <w:t>Monthly transaction volume ≤ MVR 2,000,000;</w:t>
            </w:r>
          </w:p>
        </w:tc>
      </w:tr>
      <w:tr w:rsidR="0075552D" w14:paraId="65B9FB51" w14:textId="77777777" w:rsidTr="002E43D9">
        <w:trPr>
          <w:trHeight w:val="289"/>
        </w:trPr>
        <w:tc>
          <w:tcPr>
            <w:tcW w:w="2880" w:type="dxa"/>
          </w:tcPr>
          <w:p w14:paraId="02F9F8D0" w14:textId="77777777" w:rsidR="0075552D" w:rsidRDefault="0075552D" w:rsidP="0075552D">
            <w:pPr>
              <w:rPr>
                <w:b/>
              </w:rPr>
            </w:pPr>
          </w:p>
        </w:tc>
        <w:tc>
          <w:tcPr>
            <w:tcW w:w="535" w:type="dxa"/>
          </w:tcPr>
          <w:p w14:paraId="4ACAE594" w14:textId="77777777" w:rsidR="0075552D" w:rsidRDefault="0075552D" w:rsidP="0075552D"/>
        </w:tc>
        <w:tc>
          <w:tcPr>
            <w:tcW w:w="488" w:type="dxa"/>
          </w:tcPr>
          <w:p w14:paraId="64D64A70" w14:textId="77777777" w:rsidR="0075552D" w:rsidRDefault="0075552D" w:rsidP="0075552D">
            <w:pPr>
              <w:jc w:val="center"/>
            </w:pPr>
          </w:p>
        </w:tc>
        <w:tc>
          <w:tcPr>
            <w:tcW w:w="592" w:type="dxa"/>
          </w:tcPr>
          <w:p w14:paraId="0BF29C35" w14:textId="77777777" w:rsidR="0075552D" w:rsidRDefault="0075552D" w:rsidP="0075552D">
            <w:pPr>
              <w:jc w:val="center"/>
            </w:pPr>
            <w:r>
              <w:t>IV</w:t>
            </w:r>
          </w:p>
        </w:tc>
        <w:tc>
          <w:tcPr>
            <w:tcW w:w="6308" w:type="dxa"/>
          </w:tcPr>
          <w:p w14:paraId="755F57D8" w14:textId="77777777" w:rsidR="0075552D" w:rsidRDefault="0075552D" w:rsidP="0075552D">
            <w:pPr>
              <w:rPr>
                <w:color w:val="FF0000"/>
              </w:rPr>
            </w:pPr>
            <w:r>
              <w:t>Fewer than 500 active users;</w:t>
            </w:r>
          </w:p>
        </w:tc>
      </w:tr>
      <w:tr w:rsidR="0075552D" w14:paraId="5862F059" w14:textId="77777777" w:rsidTr="002E43D9">
        <w:trPr>
          <w:trHeight w:val="289"/>
        </w:trPr>
        <w:tc>
          <w:tcPr>
            <w:tcW w:w="2880" w:type="dxa"/>
          </w:tcPr>
          <w:p w14:paraId="2AEB4A63" w14:textId="77777777" w:rsidR="0075552D" w:rsidRDefault="0075552D" w:rsidP="0075552D">
            <w:pPr>
              <w:rPr>
                <w:b/>
              </w:rPr>
            </w:pPr>
          </w:p>
        </w:tc>
        <w:tc>
          <w:tcPr>
            <w:tcW w:w="535" w:type="dxa"/>
          </w:tcPr>
          <w:p w14:paraId="1F918A63" w14:textId="77777777" w:rsidR="0075552D" w:rsidRDefault="0075552D" w:rsidP="0075552D"/>
        </w:tc>
        <w:tc>
          <w:tcPr>
            <w:tcW w:w="488" w:type="dxa"/>
          </w:tcPr>
          <w:p w14:paraId="2D76CA50" w14:textId="77777777" w:rsidR="0075552D" w:rsidRDefault="0075552D" w:rsidP="0075552D">
            <w:pPr>
              <w:jc w:val="center"/>
            </w:pPr>
          </w:p>
        </w:tc>
        <w:tc>
          <w:tcPr>
            <w:tcW w:w="592" w:type="dxa"/>
          </w:tcPr>
          <w:p w14:paraId="413C2A71" w14:textId="77777777" w:rsidR="0075552D" w:rsidRDefault="0075552D" w:rsidP="0075552D">
            <w:pPr>
              <w:jc w:val="center"/>
            </w:pPr>
            <w:r>
              <w:t>V</w:t>
            </w:r>
          </w:p>
        </w:tc>
        <w:tc>
          <w:tcPr>
            <w:tcW w:w="6308" w:type="dxa"/>
          </w:tcPr>
          <w:p w14:paraId="3C35008D" w14:textId="4D1DA87B" w:rsidR="0075552D" w:rsidRDefault="0075552D" w:rsidP="0075552D">
            <w:pPr>
              <w:rPr>
                <w:color w:val="FF0000"/>
              </w:rPr>
            </w:pPr>
            <w:r>
              <w:t xml:space="preserve">Must transition to Tier 2 if </w:t>
            </w:r>
            <w:r w:rsidR="001A7E62">
              <w:t xml:space="preserve">above </w:t>
            </w:r>
            <w:r>
              <w:t>thresholds exceeded for three consecutive months</w:t>
            </w:r>
          </w:p>
        </w:tc>
      </w:tr>
      <w:tr w:rsidR="0075552D" w14:paraId="283336B9" w14:textId="77777777" w:rsidTr="002E43D9">
        <w:trPr>
          <w:trHeight w:val="289"/>
        </w:trPr>
        <w:tc>
          <w:tcPr>
            <w:tcW w:w="2880" w:type="dxa"/>
          </w:tcPr>
          <w:p w14:paraId="66AB58FA" w14:textId="77777777" w:rsidR="0075552D" w:rsidRDefault="0075552D" w:rsidP="0075552D">
            <w:pPr>
              <w:rPr>
                <w:b/>
              </w:rPr>
            </w:pPr>
          </w:p>
        </w:tc>
        <w:tc>
          <w:tcPr>
            <w:tcW w:w="535" w:type="dxa"/>
          </w:tcPr>
          <w:p w14:paraId="56815612" w14:textId="77777777" w:rsidR="0075552D" w:rsidRDefault="0075552D" w:rsidP="0075552D"/>
        </w:tc>
        <w:tc>
          <w:tcPr>
            <w:tcW w:w="488" w:type="dxa"/>
          </w:tcPr>
          <w:p w14:paraId="3ACFD5EB" w14:textId="77777777" w:rsidR="0075552D" w:rsidRDefault="0075552D" w:rsidP="0075552D">
            <w:pPr>
              <w:jc w:val="center"/>
            </w:pPr>
            <w:r>
              <w:t>(c)</w:t>
            </w:r>
          </w:p>
        </w:tc>
        <w:tc>
          <w:tcPr>
            <w:tcW w:w="592" w:type="dxa"/>
          </w:tcPr>
          <w:p w14:paraId="524E68FE" w14:textId="77777777" w:rsidR="0075552D" w:rsidRDefault="0075552D" w:rsidP="0075552D">
            <w:pPr>
              <w:jc w:val="center"/>
            </w:pPr>
          </w:p>
        </w:tc>
        <w:tc>
          <w:tcPr>
            <w:tcW w:w="6308" w:type="dxa"/>
          </w:tcPr>
          <w:p w14:paraId="251EC333" w14:textId="084BF53C" w:rsidR="0075552D" w:rsidRDefault="0075552D" w:rsidP="0075552D">
            <w:pPr>
              <w:rPr>
                <w:color w:val="FF0000"/>
              </w:rPr>
            </w:pPr>
            <w:r>
              <w:t xml:space="preserve">Tier 3 – </w:t>
            </w:r>
            <w:r w:rsidR="002D6D49">
              <w:t>License (</w:t>
            </w:r>
            <w:r>
              <w:t xml:space="preserve">Sandbox </w:t>
            </w:r>
            <w:r w:rsidR="002D6D49">
              <w:t xml:space="preserve">S-VASP) </w:t>
            </w:r>
          </w:p>
        </w:tc>
      </w:tr>
      <w:tr w:rsidR="0075552D" w14:paraId="6BE1BF40" w14:textId="77777777" w:rsidTr="002E43D9">
        <w:trPr>
          <w:trHeight w:val="289"/>
        </w:trPr>
        <w:tc>
          <w:tcPr>
            <w:tcW w:w="2880" w:type="dxa"/>
          </w:tcPr>
          <w:p w14:paraId="4FC71DB7" w14:textId="77777777" w:rsidR="0075552D" w:rsidRDefault="0075552D" w:rsidP="0075552D">
            <w:pPr>
              <w:rPr>
                <w:b/>
              </w:rPr>
            </w:pPr>
          </w:p>
        </w:tc>
        <w:tc>
          <w:tcPr>
            <w:tcW w:w="535" w:type="dxa"/>
          </w:tcPr>
          <w:p w14:paraId="24CBCC66" w14:textId="77777777" w:rsidR="0075552D" w:rsidRDefault="0075552D" w:rsidP="0075552D"/>
        </w:tc>
        <w:tc>
          <w:tcPr>
            <w:tcW w:w="488" w:type="dxa"/>
          </w:tcPr>
          <w:p w14:paraId="396D3381" w14:textId="77777777" w:rsidR="0075552D" w:rsidRDefault="0075552D" w:rsidP="0075552D">
            <w:pPr>
              <w:jc w:val="center"/>
            </w:pPr>
          </w:p>
        </w:tc>
        <w:tc>
          <w:tcPr>
            <w:tcW w:w="592" w:type="dxa"/>
          </w:tcPr>
          <w:p w14:paraId="2D5DBC86" w14:textId="77777777" w:rsidR="0075552D" w:rsidRDefault="0075552D" w:rsidP="0075552D">
            <w:pPr>
              <w:jc w:val="center"/>
            </w:pPr>
            <w:r>
              <w:t>I</w:t>
            </w:r>
          </w:p>
        </w:tc>
        <w:tc>
          <w:tcPr>
            <w:tcW w:w="6308" w:type="dxa"/>
          </w:tcPr>
          <w:p w14:paraId="0016204C" w14:textId="2D2D90D4" w:rsidR="0075552D" w:rsidRDefault="00962A04" w:rsidP="0075552D">
            <w:pPr>
              <w:rPr>
                <w:color w:val="FF0000"/>
              </w:rPr>
            </w:pPr>
            <w:r w:rsidRPr="00962A04">
              <w:t>Operation under this license is exclusively governed by the provisions and conditions of the CMDA Sandbox Regulation</w:t>
            </w:r>
            <w:r w:rsidR="0075552D">
              <w:t>;</w:t>
            </w:r>
          </w:p>
        </w:tc>
      </w:tr>
      <w:tr w:rsidR="0075552D" w14:paraId="64DD8EC1" w14:textId="77777777" w:rsidTr="002E43D9">
        <w:trPr>
          <w:trHeight w:val="289"/>
        </w:trPr>
        <w:tc>
          <w:tcPr>
            <w:tcW w:w="2880" w:type="dxa"/>
          </w:tcPr>
          <w:p w14:paraId="4E72EA91" w14:textId="77777777" w:rsidR="0075552D" w:rsidRDefault="0075552D" w:rsidP="0075552D">
            <w:pPr>
              <w:rPr>
                <w:b/>
              </w:rPr>
            </w:pPr>
          </w:p>
        </w:tc>
        <w:tc>
          <w:tcPr>
            <w:tcW w:w="535" w:type="dxa"/>
          </w:tcPr>
          <w:p w14:paraId="299DAEF1" w14:textId="77777777" w:rsidR="0075552D" w:rsidRDefault="0075552D" w:rsidP="0075552D"/>
        </w:tc>
        <w:tc>
          <w:tcPr>
            <w:tcW w:w="488" w:type="dxa"/>
          </w:tcPr>
          <w:p w14:paraId="214D2D78" w14:textId="77777777" w:rsidR="0075552D" w:rsidRDefault="0075552D" w:rsidP="0075552D">
            <w:pPr>
              <w:jc w:val="center"/>
            </w:pPr>
          </w:p>
        </w:tc>
        <w:tc>
          <w:tcPr>
            <w:tcW w:w="592" w:type="dxa"/>
          </w:tcPr>
          <w:p w14:paraId="28D606DF" w14:textId="77777777" w:rsidR="0075552D" w:rsidRDefault="0075552D" w:rsidP="0075552D">
            <w:pPr>
              <w:jc w:val="center"/>
            </w:pPr>
            <w:r>
              <w:t>II</w:t>
            </w:r>
          </w:p>
        </w:tc>
        <w:tc>
          <w:tcPr>
            <w:tcW w:w="6308" w:type="dxa"/>
          </w:tcPr>
          <w:p w14:paraId="35D26E48" w14:textId="5A5756B0" w:rsidR="0075552D" w:rsidRDefault="00962A04" w:rsidP="0075552D">
            <w:pPr>
              <w:rPr>
                <w:color w:val="FF0000"/>
              </w:rPr>
            </w:pPr>
            <w:r>
              <w:t>The authorization granted under this Tier shall be strictly limited to a period of twelve (12) months, which may be extended solely in accordance with the terms and criteria established in the CMDA Sandbox Regulation</w:t>
            </w:r>
            <w:r w:rsidR="00E71D45">
              <w:t xml:space="preserve">; </w:t>
            </w:r>
          </w:p>
        </w:tc>
      </w:tr>
      <w:tr w:rsidR="0075552D" w14:paraId="29E8AAFB" w14:textId="77777777" w:rsidTr="002E43D9">
        <w:trPr>
          <w:trHeight w:val="289"/>
        </w:trPr>
        <w:tc>
          <w:tcPr>
            <w:tcW w:w="2880" w:type="dxa"/>
          </w:tcPr>
          <w:p w14:paraId="22BA70B6" w14:textId="77777777" w:rsidR="0075552D" w:rsidRDefault="0075552D" w:rsidP="0075552D">
            <w:pPr>
              <w:rPr>
                <w:b/>
              </w:rPr>
            </w:pPr>
          </w:p>
        </w:tc>
        <w:tc>
          <w:tcPr>
            <w:tcW w:w="535" w:type="dxa"/>
          </w:tcPr>
          <w:p w14:paraId="6582AD7D" w14:textId="77777777" w:rsidR="0075552D" w:rsidRDefault="0075552D" w:rsidP="0075552D"/>
        </w:tc>
        <w:tc>
          <w:tcPr>
            <w:tcW w:w="488" w:type="dxa"/>
          </w:tcPr>
          <w:p w14:paraId="6146772A" w14:textId="77777777" w:rsidR="0075552D" w:rsidRDefault="0075552D" w:rsidP="0075552D">
            <w:pPr>
              <w:jc w:val="center"/>
            </w:pPr>
          </w:p>
        </w:tc>
        <w:tc>
          <w:tcPr>
            <w:tcW w:w="592" w:type="dxa"/>
          </w:tcPr>
          <w:p w14:paraId="67566F88" w14:textId="77777777" w:rsidR="0075552D" w:rsidRDefault="0075552D" w:rsidP="0075552D">
            <w:pPr>
              <w:jc w:val="center"/>
            </w:pPr>
            <w:r>
              <w:t>III</w:t>
            </w:r>
          </w:p>
        </w:tc>
        <w:tc>
          <w:tcPr>
            <w:tcW w:w="6308" w:type="dxa"/>
          </w:tcPr>
          <w:p w14:paraId="7A01961C" w14:textId="7CA901C1" w:rsidR="0075552D" w:rsidRDefault="00962A04" w:rsidP="0075552D">
            <w:pPr>
              <w:rPr>
                <w:color w:val="FF0000"/>
              </w:rPr>
            </w:pPr>
            <w:r w:rsidRPr="00962A04">
              <w:t>Upon the successful conclusion of the testing phase, as determined by and conducted under the CMDA Sandbox Regulation, the licensee is mandated to apply for an upgrade to either a Tier 1 License or a Tier 2 License.</w:t>
            </w:r>
          </w:p>
        </w:tc>
      </w:tr>
      <w:tr w:rsidR="0075552D" w14:paraId="0D90E34D" w14:textId="77777777" w:rsidTr="002E43D9">
        <w:trPr>
          <w:trHeight w:val="289"/>
        </w:trPr>
        <w:tc>
          <w:tcPr>
            <w:tcW w:w="2880" w:type="dxa"/>
          </w:tcPr>
          <w:p w14:paraId="5DF42DEF" w14:textId="05B06C11" w:rsidR="0075552D" w:rsidRDefault="0075552D" w:rsidP="0075552D">
            <w:pPr>
              <w:rPr>
                <w:b/>
              </w:rPr>
            </w:pPr>
            <w:r>
              <w:rPr>
                <w:b/>
              </w:rPr>
              <w:t xml:space="preserve">Tier 1 – Major </w:t>
            </w:r>
            <w:r w:rsidR="00C27F96">
              <w:rPr>
                <w:b/>
              </w:rPr>
              <w:t xml:space="preserve">S- </w:t>
            </w:r>
            <w:r>
              <w:rPr>
                <w:b/>
              </w:rPr>
              <w:t xml:space="preserve">VASP </w:t>
            </w:r>
            <w:r w:rsidR="001A48E8">
              <w:rPr>
                <w:b/>
              </w:rPr>
              <w:t>Continuing</w:t>
            </w:r>
            <w:r>
              <w:rPr>
                <w:b/>
              </w:rPr>
              <w:t xml:space="preserve"> Requirements:</w:t>
            </w:r>
          </w:p>
        </w:tc>
        <w:tc>
          <w:tcPr>
            <w:tcW w:w="535" w:type="dxa"/>
          </w:tcPr>
          <w:p w14:paraId="7B92FFFD" w14:textId="03D74CAE" w:rsidR="0075552D" w:rsidRDefault="0075552D" w:rsidP="0075552D">
            <w:r>
              <w:t>1</w:t>
            </w:r>
            <w:r w:rsidR="00FB1EEF">
              <w:t>2</w:t>
            </w:r>
            <w:r>
              <w:t>.</w:t>
            </w:r>
          </w:p>
        </w:tc>
        <w:tc>
          <w:tcPr>
            <w:tcW w:w="488" w:type="dxa"/>
          </w:tcPr>
          <w:p w14:paraId="517388C4" w14:textId="4766F6F8" w:rsidR="0075552D" w:rsidRDefault="0075552D" w:rsidP="00916927"/>
        </w:tc>
        <w:tc>
          <w:tcPr>
            <w:tcW w:w="592" w:type="dxa"/>
          </w:tcPr>
          <w:p w14:paraId="5852AAC8" w14:textId="77777777" w:rsidR="0075552D" w:rsidRDefault="0075552D" w:rsidP="0075552D">
            <w:pPr>
              <w:jc w:val="center"/>
            </w:pPr>
          </w:p>
        </w:tc>
        <w:tc>
          <w:tcPr>
            <w:tcW w:w="6308" w:type="dxa"/>
          </w:tcPr>
          <w:p w14:paraId="766EA3DA" w14:textId="69D31CDE" w:rsidR="0075552D" w:rsidRDefault="00986747" w:rsidP="0075552D">
            <w:pPr>
              <w:rPr>
                <w:color w:val="000000"/>
              </w:rPr>
            </w:pPr>
            <w:r>
              <w:rPr>
                <w:color w:val="000000"/>
              </w:rPr>
              <w:t>Major S-VASP</w:t>
            </w:r>
            <w:r w:rsidR="0075552D">
              <w:rPr>
                <w:color w:val="000000"/>
              </w:rPr>
              <w:t xml:space="preserve"> shall satisfy the following conditions</w:t>
            </w:r>
            <w:r w:rsidR="0008538D">
              <w:rPr>
                <w:color w:val="000000"/>
              </w:rPr>
              <w:t xml:space="preserve"> at all times</w:t>
            </w:r>
            <w:r w:rsidR="0075552D">
              <w:rPr>
                <w:color w:val="000000"/>
              </w:rPr>
              <w:t>:</w:t>
            </w:r>
            <w:r>
              <w:rPr>
                <w:color w:val="000000"/>
              </w:rPr>
              <w:t xml:space="preserve"> </w:t>
            </w:r>
          </w:p>
        </w:tc>
      </w:tr>
      <w:tr w:rsidR="0075552D" w14:paraId="2B4948F8" w14:textId="77777777" w:rsidTr="002E43D9">
        <w:trPr>
          <w:trHeight w:val="289"/>
        </w:trPr>
        <w:tc>
          <w:tcPr>
            <w:tcW w:w="2880" w:type="dxa"/>
          </w:tcPr>
          <w:p w14:paraId="0A6CB341" w14:textId="77777777" w:rsidR="0075552D" w:rsidRDefault="0075552D" w:rsidP="0075552D"/>
        </w:tc>
        <w:tc>
          <w:tcPr>
            <w:tcW w:w="535" w:type="dxa"/>
          </w:tcPr>
          <w:p w14:paraId="07257386" w14:textId="77777777" w:rsidR="0075552D" w:rsidRDefault="0075552D" w:rsidP="0075552D"/>
        </w:tc>
        <w:tc>
          <w:tcPr>
            <w:tcW w:w="488" w:type="dxa"/>
          </w:tcPr>
          <w:p w14:paraId="42CD83EB" w14:textId="77777777" w:rsidR="0075552D" w:rsidRDefault="0075552D" w:rsidP="0075552D">
            <w:pPr>
              <w:jc w:val="center"/>
            </w:pPr>
          </w:p>
        </w:tc>
        <w:tc>
          <w:tcPr>
            <w:tcW w:w="592" w:type="dxa"/>
          </w:tcPr>
          <w:p w14:paraId="614A969A" w14:textId="77777777" w:rsidR="0075552D" w:rsidRDefault="0075552D" w:rsidP="0075552D">
            <w:pPr>
              <w:jc w:val="center"/>
            </w:pPr>
            <w:r>
              <w:t>I</w:t>
            </w:r>
          </w:p>
        </w:tc>
        <w:tc>
          <w:tcPr>
            <w:tcW w:w="6308" w:type="dxa"/>
          </w:tcPr>
          <w:p w14:paraId="05806FAF" w14:textId="0F1FC3D5" w:rsidR="0075552D" w:rsidRDefault="0075552D" w:rsidP="0075552D">
            <w:r>
              <w:t xml:space="preserve">Maintain minimum </w:t>
            </w:r>
            <w:r w:rsidR="00833115">
              <w:t xml:space="preserve">requirements stipulated in 10 (a). </w:t>
            </w:r>
          </w:p>
        </w:tc>
      </w:tr>
      <w:tr w:rsidR="0075552D" w14:paraId="436B2BE5" w14:textId="77777777" w:rsidTr="002E43D9">
        <w:trPr>
          <w:trHeight w:val="289"/>
        </w:trPr>
        <w:tc>
          <w:tcPr>
            <w:tcW w:w="2880" w:type="dxa"/>
          </w:tcPr>
          <w:p w14:paraId="35811501" w14:textId="77777777" w:rsidR="0075552D" w:rsidRDefault="0075552D" w:rsidP="0075552D"/>
        </w:tc>
        <w:tc>
          <w:tcPr>
            <w:tcW w:w="535" w:type="dxa"/>
          </w:tcPr>
          <w:p w14:paraId="340FA912" w14:textId="77777777" w:rsidR="0075552D" w:rsidRDefault="0075552D" w:rsidP="0075552D"/>
        </w:tc>
        <w:tc>
          <w:tcPr>
            <w:tcW w:w="488" w:type="dxa"/>
          </w:tcPr>
          <w:p w14:paraId="57D5EBFB" w14:textId="77777777" w:rsidR="0075552D" w:rsidRDefault="0075552D" w:rsidP="0075552D">
            <w:pPr>
              <w:jc w:val="center"/>
            </w:pPr>
          </w:p>
        </w:tc>
        <w:tc>
          <w:tcPr>
            <w:tcW w:w="592" w:type="dxa"/>
          </w:tcPr>
          <w:p w14:paraId="44CAF139" w14:textId="77777777" w:rsidR="0075552D" w:rsidRDefault="0075552D" w:rsidP="0075552D">
            <w:pPr>
              <w:jc w:val="center"/>
            </w:pPr>
            <w:r>
              <w:t>II</w:t>
            </w:r>
          </w:p>
        </w:tc>
        <w:tc>
          <w:tcPr>
            <w:tcW w:w="6308" w:type="dxa"/>
          </w:tcPr>
          <w:p w14:paraId="3894E6E8" w14:textId="77777777" w:rsidR="0075552D" w:rsidRDefault="0075552D" w:rsidP="0075552D">
            <w:r>
              <w:t>Implement comprehensive AML/CFT policies, including CDD, EDD for high-risk clients, and continuous transaction monitoring.</w:t>
            </w:r>
          </w:p>
        </w:tc>
      </w:tr>
      <w:tr w:rsidR="0075552D" w14:paraId="2338C507" w14:textId="77777777" w:rsidTr="002E43D9">
        <w:trPr>
          <w:trHeight w:val="289"/>
        </w:trPr>
        <w:tc>
          <w:tcPr>
            <w:tcW w:w="2880" w:type="dxa"/>
          </w:tcPr>
          <w:p w14:paraId="017FD353" w14:textId="77777777" w:rsidR="0075552D" w:rsidRDefault="0075552D" w:rsidP="0075552D"/>
        </w:tc>
        <w:tc>
          <w:tcPr>
            <w:tcW w:w="535" w:type="dxa"/>
          </w:tcPr>
          <w:p w14:paraId="1FDAD68B" w14:textId="77777777" w:rsidR="0075552D" w:rsidRDefault="0075552D" w:rsidP="0075552D"/>
        </w:tc>
        <w:tc>
          <w:tcPr>
            <w:tcW w:w="488" w:type="dxa"/>
          </w:tcPr>
          <w:p w14:paraId="29655F9A" w14:textId="77777777" w:rsidR="0075552D" w:rsidRDefault="0075552D" w:rsidP="0075552D">
            <w:pPr>
              <w:jc w:val="center"/>
            </w:pPr>
          </w:p>
        </w:tc>
        <w:tc>
          <w:tcPr>
            <w:tcW w:w="592" w:type="dxa"/>
          </w:tcPr>
          <w:p w14:paraId="31115267" w14:textId="77777777" w:rsidR="0075552D" w:rsidRDefault="0075552D" w:rsidP="0075552D">
            <w:pPr>
              <w:jc w:val="center"/>
            </w:pPr>
            <w:r>
              <w:t>III</w:t>
            </w:r>
          </w:p>
        </w:tc>
        <w:tc>
          <w:tcPr>
            <w:tcW w:w="6308" w:type="dxa"/>
          </w:tcPr>
          <w:p w14:paraId="00930523" w14:textId="77777777" w:rsidR="0075552D" w:rsidRDefault="0075552D" w:rsidP="0075552D">
            <w:r>
              <w:t>Maintain ongoing financial soundness in accordance with prudential standards, including minimum liquidity coverage and net capital ratios proportionate to scale and risk profile.</w:t>
            </w:r>
          </w:p>
        </w:tc>
      </w:tr>
      <w:tr w:rsidR="0075552D" w14:paraId="70586EF4" w14:textId="77777777" w:rsidTr="002E43D9">
        <w:trPr>
          <w:trHeight w:val="289"/>
        </w:trPr>
        <w:tc>
          <w:tcPr>
            <w:tcW w:w="2880" w:type="dxa"/>
          </w:tcPr>
          <w:p w14:paraId="53EB6D4E" w14:textId="77777777" w:rsidR="0075552D" w:rsidRDefault="0075552D" w:rsidP="0075552D"/>
        </w:tc>
        <w:tc>
          <w:tcPr>
            <w:tcW w:w="535" w:type="dxa"/>
          </w:tcPr>
          <w:p w14:paraId="09CD292C" w14:textId="77777777" w:rsidR="0075552D" w:rsidRDefault="0075552D" w:rsidP="0075552D"/>
        </w:tc>
        <w:tc>
          <w:tcPr>
            <w:tcW w:w="488" w:type="dxa"/>
          </w:tcPr>
          <w:p w14:paraId="1EB13CAD" w14:textId="77777777" w:rsidR="0075552D" w:rsidRDefault="0075552D" w:rsidP="0075552D">
            <w:pPr>
              <w:jc w:val="center"/>
            </w:pPr>
          </w:p>
        </w:tc>
        <w:tc>
          <w:tcPr>
            <w:tcW w:w="592" w:type="dxa"/>
          </w:tcPr>
          <w:p w14:paraId="10717B76" w14:textId="77777777" w:rsidR="0075552D" w:rsidRDefault="0075552D" w:rsidP="0075552D">
            <w:pPr>
              <w:jc w:val="center"/>
            </w:pPr>
            <w:r>
              <w:t>IV</w:t>
            </w:r>
          </w:p>
        </w:tc>
        <w:tc>
          <w:tcPr>
            <w:tcW w:w="6308" w:type="dxa"/>
          </w:tcPr>
          <w:p w14:paraId="6C9A23B3" w14:textId="77777777" w:rsidR="0075552D" w:rsidRDefault="0075552D" w:rsidP="0075552D">
            <w:r>
              <w:t>Submit audited financial statements and capital adequacy reports annually.</w:t>
            </w:r>
          </w:p>
        </w:tc>
      </w:tr>
      <w:tr w:rsidR="0075552D" w14:paraId="36F55A10" w14:textId="77777777" w:rsidTr="002E43D9">
        <w:trPr>
          <w:trHeight w:val="289"/>
        </w:trPr>
        <w:tc>
          <w:tcPr>
            <w:tcW w:w="2880" w:type="dxa"/>
          </w:tcPr>
          <w:p w14:paraId="0BA57A42" w14:textId="77777777" w:rsidR="0075552D" w:rsidRDefault="0075552D" w:rsidP="0075552D"/>
        </w:tc>
        <w:tc>
          <w:tcPr>
            <w:tcW w:w="535" w:type="dxa"/>
          </w:tcPr>
          <w:p w14:paraId="664FF3F1" w14:textId="77777777" w:rsidR="0075552D" w:rsidRDefault="0075552D" w:rsidP="0075552D"/>
        </w:tc>
        <w:tc>
          <w:tcPr>
            <w:tcW w:w="488" w:type="dxa"/>
          </w:tcPr>
          <w:p w14:paraId="244E46B5" w14:textId="77777777" w:rsidR="0075552D" w:rsidRDefault="0075552D" w:rsidP="0075552D">
            <w:pPr>
              <w:jc w:val="center"/>
            </w:pPr>
          </w:p>
        </w:tc>
        <w:tc>
          <w:tcPr>
            <w:tcW w:w="592" w:type="dxa"/>
          </w:tcPr>
          <w:p w14:paraId="69FB65A4" w14:textId="77777777" w:rsidR="0075552D" w:rsidRDefault="0075552D" w:rsidP="0075552D">
            <w:pPr>
              <w:jc w:val="center"/>
            </w:pPr>
            <w:r>
              <w:t>V</w:t>
            </w:r>
          </w:p>
        </w:tc>
        <w:tc>
          <w:tcPr>
            <w:tcW w:w="6308" w:type="dxa"/>
          </w:tcPr>
          <w:p w14:paraId="6C774740" w14:textId="77777777" w:rsidR="0075552D" w:rsidRDefault="0075552D" w:rsidP="0075552D">
            <w:r>
              <w:t>Submit quarterly reports within thirty (30) days of each calendar quarter.</w:t>
            </w:r>
          </w:p>
        </w:tc>
      </w:tr>
      <w:tr w:rsidR="0075552D" w14:paraId="75F6B795" w14:textId="77777777" w:rsidTr="002E43D9">
        <w:trPr>
          <w:trHeight w:val="289"/>
        </w:trPr>
        <w:tc>
          <w:tcPr>
            <w:tcW w:w="2880" w:type="dxa"/>
          </w:tcPr>
          <w:p w14:paraId="7D8CDC5E" w14:textId="77777777" w:rsidR="0075552D" w:rsidRDefault="0075552D" w:rsidP="0075552D"/>
        </w:tc>
        <w:tc>
          <w:tcPr>
            <w:tcW w:w="535" w:type="dxa"/>
          </w:tcPr>
          <w:p w14:paraId="1FEF0A12" w14:textId="77777777" w:rsidR="0075552D" w:rsidRDefault="0075552D" w:rsidP="0075552D"/>
        </w:tc>
        <w:tc>
          <w:tcPr>
            <w:tcW w:w="488" w:type="dxa"/>
          </w:tcPr>
          <w:p w14:paraId="30621B33" w14:textId="77777777" w:rsidR="0075552D" w:rsidRDefault="0075552D" w:rsidP="0075552D">
            <w:pPr>
              <w:jc w:val="center"/>
            </w:pPr>
          </w:p>
        </w:tc>
        <w:tc>
          <w:tcPr>
            <w:tcW w:w="592" w:type="dxa"/>
          </w:tcPr>
          <w:p w14:paraId="3EBA3205" w14:textId="77777777" w:rsidR="0075552D" w:rsidRDefault="0075552D" w:rsidP="0075552D">
            <w:pPr>
              <w:jc w:val="center"/>
            </w:pPr>
            <w:r>
              <w:t>VI</w:t>
            </w:r>
          </w:p>
        </w:tc>
        <w:tc>
          <w:tcPr>
            <w:tcW w:w="6308" w:type="dxa"/>
          </w:tcPr>
          <w:p w14:paraId="081DB007" w14:textId="77777777" w:rsidR="0075552D" w:rsidRDefault="0075552D" w:rsidP="0075552D">
            <w:r>
              <w:t>Maintain auditable records of all transactions for at least five (5) years.</w:t>
            </w:r>
          </w:p>
        </w:tc>
      </w:tr>
      <w:tr w:rsidR="0075552D" w14:paraId="27CA6800" w14:textId="77777777" w:rsidTr="002E43D9">
        <w:trPr>
          <w:trHeight w:val="289"/>
        </w:trPr>
        <w:tc>
          <w:tcPr>
            <w:tcW w:w="2880" w:type="dxa"/>
          </w:tcPr>
          <w:p w14:paraId="14EDD46E" w14:textId="77777777" w:rsidR="0075552D" w:rsidRDefault="0075552D" w:rsidP="0075552D"/>
        </w:tc>
        <w:tc>
          <w:tcPr>
            <w:tcW w:w="535" w:type="dxa"/>
          </w:tcPr>
          <w:p w14:paraId="02FB38D6" w14:textId="77777777" w:rsidR="0075552D" w:rsidRDefault="0075552D" w:rsidP="0075552D"/>
        </w:tc>
        <w:tc>
          <w:tcPr>
            <w:tcW w:w="488" w:type="dxa"/>
          </w:tcPr>
          <w:p w14:paraId="7AC0180B" w14:textId="77777777" w:rsidR="0075552D" w:rsidRDefault="0075552D" w:rsidP="0075552D">
            <w:pPr>
              <w:jc w:val="center"/>
            </w:pPr>
          </w:p>
        </w:tc>
        <w:tc>
          <w:tcPr>
            <w:tcW w:w="592" w:type="dxa"/>
          </w:tcPr>
          <w:p w14:paraId="366767F1" w14:textId="77777777" w:rsidR="0075552D" w:rsidRDefault="0075552D" w:rsidP="0075552D">
            <w:pPr>
              <w:jc w:val="center"/>
            </w:pPr>
            <w:r>
              <w:t>VII</w:t>
            </w:r>
          </w:p>
        </w:tc>
        <w:tc>
          <w:tcPr>
            <w:tcW w:w="6308" w:type="dxa"/>
          </w:tcPr>
          <w:p w14:paraId="380B6264" w14:textId="77777777" w:rsidR="0075552D" w:rsidRDefault="0075552D" w:rsidP="0075552D">
            <w:r>
              <w:t>Obtain and maintain professional indemnity insurance or equivalent risk coverage.</w:t>
            </w:r>
          </w:p>
        </w:tc>
      </w:tr>
      <w:tr w:rsidR="0075552D" w14:paraId="2C3C1B9C" w14:textId="77777777" w:rsidTr="002E43D9">
        <w:trPr>
          <w:trHeight w:val="289"/>
        </w:trPr>
        <w:tc>
          <w:tcPr>
            <w:tcW w:w="2880" w:type="dxa"/>
          </w:tcPr>
          <w:p w14:paraId="1B04A164" w14:textId="77777777" w:rsidR="0075552D" w:rsidRDefault="0075552D" w:rsidP="0075552D"/>
        </w:tc>
        <w:tc>
          <w:tcPr>
            <w:tcW w:w="535" w:type="dxa"/>
          </w:tcPr>
          <w:p w14:paraId="1BB0478E" w14:textId="77777777" w:rsidR="0075552D" w:rsidRDefault="0075552D" w:rsidP="0075552D"/>
        </w:tc>
        <w:tc>
          <w:tcPr>
            <w:tcW w:w="488" w:type="dxa"/>
          </w:tcPr>
          <w:p w14:paraId="54B5DE56" w14:textId="77777777" w:rsidR="0075552D" w:rsidRDefault="0075552D" w:rsidP="0075552D">
            <w:pPr>
              <w:jc w:val="center"/>
            </w:pPr>
          </w:p>
        </w:tc>
        <w:tc>
          <w:tcPr>
            <w:tcW w:w="592" w:type="dxa"/>
          </w:tcPr>
          <w:p w14:paraId="601F7B95" w14:textId="77777777" w:rsidR="0075552D" w:rsidRDefault="0075552D" w:rsidP="0075552D">
            <w:pPr>
              <w:jc w:val="center"/>
            </w:pPr>
            <w:r>
              <w:t>VIII</w:t>
            </w:r>
          </w:p>
        </w:tc>
        <w:tc>
          <w:tcPr>
            <w:tcW w:w="6308" w:type="dxa"/>
          </w:tcPr>
          <w:p w14:paraId="32D4E403" w14:textId="77777777" w:rsidR="0075552D" w:rsidRDefault="0075552D" w:rsidP="0075552D">
            <w:r>
              <w:t>Appoint a Board of Directors with at least one independent non-executive director.</w:t>
            </w:r>
          </w:p>
        </w:tc>
      </w:tr>
      <w:tr w:rsidR="0075552D" w14:paraId="79585498" w14:textId="77777777" w:rsidTr="002E43D9">
        <w:trPr>
          <w:trHeight w:val="289"/>
        </w:trPr>
        <w:tc>
          <w:tcPr>
            <w:tcW w:w="2880" w:type="dxa"/>
          </w:tcPr>
          <w:p w14:paraId="18FC0551" w14:textId="0CA9379C" w:rsidR="0075552D" w:rsidRDefault="0075552D" w:rsidP="00F97A83">
            <w:pPr>
              <w:rPr>
                <w:b/>
              </w:rPr>
            </w:pPr>
            <w:r>
              <w:rPr>
                <w:b/>
              </w:rPr>
              <w:t xml:space="preserve">Tier 2 – </w:t>
            </w:r>
            <w:r w:rsidR="00F97A83" w:rsidRPr="00F97A83">
              <w:rPr>
                <w:b/>
              </w:rPr>
              <w:t>Limited-Scope S-VASP</w:t>
            </w:r>
            <w:r>
              <w:rPr>
                <w:b/>
              </w:rPr>
              <w:t xml:space="preserve"> </w:t>
            </w:r>
            <w:r w:rsidR="00F97A83">
              <w:rPr>
                <w:b/>
              </w:rPr>
              <w:t>Continuing Requirements:</w:t>
            </w:r>
          </w:p>
        </w:tc>
        <w:tc>
          <w:tcPr>
            <w:tcW w:w="535" w:type="dxa"/>
          </w:tcPr>
          <w:p w14:paraId="1764BF82" w14:textId="2A31A5A5" w:rsidR="0075552D" w:rsidRDefault="0075552D" w:rsidP="0075552D">
            <w:r>
              <w:t>1</w:t>
            </w:r>
            <w:r w:rsidR="00944E10">
              <w:t>3</w:t>
            </w:r>
            <w:r>
              <w:t>.</w:t>
            </w:r>
          </w:p>
        </w:tc>
        <w:tc>
          <w:tcPr>
            <w:tcW w:w="488" w:type="dxa"/>
          </w:tcPr>
          <w:p w14:paraId="0F1391DB" w14:textId="476F01F3" w:rsidR="0075552D" w:rsidRDefault="0075552D" w:rsidP="002607AC"/>
        </w:tc>
        <w:tc>
          <w:tcPr>
            <w:tcW w:w="592" w:type="dxa"/>
          </w:tcPr>
          <w:p w14:paraId="7CCF37CD" w14:textId="77777777" w:rsidR="0075552D" w:rsidRDefault="0075552D" w:rsidP="0075552D">
            <w:pPr>
              <w:jc w:val="center"/>
            </w:pPr>
          </w:p>
        </w:tc>
        <w:tc>
          <w:tcPr>
            <w:tcW w:w="6308" w:type="dxa"/>
          </w:tcPr>
          <w:p w14:paraId="349CAAFC" w14:textId="1CBEB84E" w:rsidR="0075552D" w:rsidRDefault="00F97A83" w:rsidP="0075552D">
            <w:pPr>
              <w:rPr>
                <w:color w:val="FF0000"/>
              </w:rPr>
            </w:pPr>
            <w:r>
              <w:t>Limited-Scope S-VASP</w:t>
            </w:r>
            <w:r>
              <w:rPr>
                <w:color w:val="000000"/>
              </w:rPr>
              <w:t xml:space="preserve"> shall satisfy the following conditions at all times:  </w:t>
            </w:r>
          </w:p>
        </w:tc>
      </w:tr>
      <w:tr w:rsidR="0075552D" w14:paraId="73863530" w14:textId="77777777" w:rsidTr="002E43D9">
        <w:trPr>
          <w:trHeight w:val="289"/>
        </w:trPr>
        <w:tc>
          <w:tcPr>
            <w:tcW w:w="2880" w:type="dxa"/>
          </w:tcPr>
          <w:p w14:paraId="4CB23D42" w14:textId="77777777" w:rsidR="0075552D" w:rsidRDefault="0075552D" w:rsidP="0075552D"/>
        </w:tc>
        <w:tc>
          <w:tcPr>
            <w:tcW w:w="535" w:type="dxa"/>
          </w:tcPr>
          <w:p w14:paraId="6CE4F87F" w14:textId="77777777" w:rsidR="0075552D" w:rsidRDefault="0075552D" w:rsidP="0075552D"/>
        </w:tc>
        <w:tc>
          <w:tcPr>
            <w:tcW w:w="488" w:type="dxa"/>
          </w:tcPr>
          <w:p w14:paraId="271E1314" w14:textId="77777777" w:rsidR="0075552D" w:rsidRDefault="0075552D" w:rsidP="0075552D">
            <w:pPr>
              <w:jc w:val="center"/>
            </w:pPr>
          </w:p>
        </w:tc>
        <w:tc>
          <w:tcPr>
            <w:tcW w:w="592" w:type="dxa"/>
          </w:tcPr>
          <w:p w14:paraId="47CEB251" w14:textId="77777777" w:rsidR="0075552D" w:rsidRDefault="0075552D" w:rsidP="0075552D">
            <w:pPr>
              <w:jc w:val="center"/>
            </w:pPr>
            <w:r>
              <w:t>I</w:t>
            </w:r>
          </w:p>
        </w:tc>
        <w:tc>
          <w:tcPr>
            <w:tcW w:w="6308" w:type="dxa"/>
          </w:tcPr>
          <w:p w14:paraId="5F9BB546" w14:textId="61049C5D" w:rsidR="0075552D" w:rsidRDefault="00F97A83" w:rsidP="0075552D">
            <w:r>
              <w:t xml:space="preserve">Maintain minimum requirements stipulated in 10 (b). </w:t>
            </w:r>
          </w:p>
        </w:tc>
      </w:tr>
      <w:tr w:rsidR="0075552D" w14:paraId="181282CF" w14:textId="77777777" w:rsidTr="002E43D9">
        <w:trPr>
          <w:trHeight w:val="289"/>
        </w:trPr>
        <w:tc>
          <w:tcPr>
            <w:tcW w:w="2880" w:type="dxa"/>
          </w:tcPr>
          <w:p w14:paraId="7EB36ED1" w14:textId="77777777" w:rsidR="0075552D" w:rsidRDefault="0075552D" w:rsidP="0075552D"/>
        </w:tc>
        <w:tc>
          <w:tcPr>
            <w:tcW w:w="535" w:type="dxa"/>
          </w:tcPr>
          <w:p w14:paraId="44AF35D8" w14:textId="77777777" w:rsidR="0075552D" w:rsidRDefault="0075552D" w:rsidP="0075552D"/>
        </w:tc>
        <w:tc>
          <w:tcPr>
            <w:tcW w:w="488" w:type="dxa"/>
          </w:tcPr>
          <w:p w14:paraId="10B18B4B" w14:textId="77777777" w:rsidR="0075552D" w:rsidRDefault="0075552D" w:rsidP="0075552D">
            <w:pPr>
              <w:jc w:val="center"/>
            </w:pPr>
          </w:p>
        </w:tc>
        <w:tc>
          <w:tcPr>
            <w:tcW w:w="592" w:type="dxa"/>
          </w:tcPr>
          <w:p w14:paraId="06397E56" w14:textId="77777777" w:rsidR="0075552D" w:rsidRDefault="0075552D" w:rsidP="0075552D">
            <w:pPr>
              <w:jc w:val="center"/>
            </w:pPr>
            <w:r>
              <w:t>II</w:t>
            </w:r>
          </w:p>
        </w:tc>
        <w:tc>
          <w:tcPr>
            <w:tcW w:w="6308" w:type="dxa"/>
          </w:tcPr>
          <w:p w14:paraId="66B064A9" w14:textId="77777777" w:rsidR="0075552D" w:rsidRDefault="0075552D" w:rsidP="0075552D">
            <w:r>
              <w:t>Demonstrate adequate liquidity coverage and capital adequacy ratios.</w:t>
            </w:r>
          </w:p>
        </w:tc>
      </w:tr>
      <w:tr w:rsidR="0075552D" w14:paraId="1B822A5A" w14:textId="77777777" w:rsidTr="002E43D9">
        <w:trPr>
          <w:trHeight w:val="289"/>
        </w:trPr>
        <w:tc>
          <w:tcPr>
            <w:tcW w:w="2880" w:type="dxa"/>
          </w:tcPr>
          <w:p w14:paraId="193109C1" w14:textId="77777777" w:rsidR="0075552D" w:rsidRDefault="0075552D" w:rsidP="0075552D"/>
        </w:tc>
        <w:tc>
          <w:tcPr>
            <w:tcW w:w="535" w:type="dxa"/>
          </w:tcPr>
          <w:p w14:paraId="095000B1" w14:textId="77777777" w:rsidR="0075552D" w:rsidRDefault="0075552D" w:rsidP="0075552D"/>
        </w:tc>
        <w:tc>
          <w:tcPr>
            <w:tcW w:w="488" w:type="dxa"/>
          </w:tcPr>
          <w:p w14:paraId="5D373607" w14:textId="77777777" w:rsidR="0075552D" w:rsidRDefault="0075552D" w:rsidP="0075552D">
            <w:pPr>
              <w:jc w:val="center"/>
            </w:pPr>
          </w:p>
        </w:tc>
        <w:tc>
          <w:tcPr>
            <w:tcW w:w="592" w:type="dxa"/>
          </w:tcPr>
          <w:p w14:paraId="2A209F6F" w14:textId="77777777" w:rsidR="0075552D" w:rsidRDefault="0075552D" w:rsidP="0075552D">
            <w:pPr>
              <w:jc w:val="center"/>
            </w:pPr>
            <w:r>
              <w:t>III</w:t>
            </w:r>
          </w:p>
        </w:tc>
        <w:tc>
          <w:tcPr>
            <w:tcW w:w="6308" w:type="dxa"/>
          </w:tcPr>
          <w:p w14:paraId="40912696" w14:textId="77777777" w:rsidR="0075552D" w:rsidRDefault="0075552D" w:rsidP="0075552D">
            <w:r>
              <w:t>Establish internal control and cybersecurity measures appropriate to the scale of operations.</w:t>
            </w:r>
          </w:p>
        </w:tc>
      </w:tr>
      <w:tr w:rsidR="0075552D" w14:paraId="1B42C313" w14:textId="77777777" w:rsidTr="002E43D9">
        <w:trPr>
          <w:trHeight w:val="289"/>
        </w:trPr>
        <w:tc>
          <w:tcPr>
            <w:tcW w:w="2880" w:type="dxa"/>
          </w:tcPr>
          <w:p w14:paraId="6B9F7AB6" w14:textId="77777777" w:rsidR="0075552D" w:rsidRDefault="0075552D" w:rsidP="0075552D"/>
        </w:tc>
        <w:tc>
          <w:tcPr>
            <w:tcW w:w="535" w:type="dxa"/>
          </w:tcPr>
          <w:p w14:paraId="603384E9" w14:textId="77777777" w:rsidR="0075552D" w:rsidRDefault="0075552D" w:rsidP="0075552D"/>
        </w:tc>
        <w:tc>
          <w:tcPr>
            <w:tcW w:w="488" w:type="dxa"/>
          </w:tcPr>
          <w:p w14:paraId="337ED4F5" w14:textId="77777777" w:rsidR="0075552D" w:rsidRDefault="0075552D" w:rsidP="0075552D">
            <w:pPr>
              <w:jc w:val="center"/>
            </w:pPr>
          </w:p>
        </w:tc>
        <w:tc>
          <w:tcPr>
            <w:tcW w:w="592" w:type="dxa"/>
          </w:tcPr>
          <w:p w14:paraId="23BC8D94" w14:textId="77777777" w:rsidR="0075552D" w:rsidRDefault="0075552D" w:rsidP="0075552D">
            <w:pPr>
              <w:jc w:val="center"/>
            </w:pPr>
            <w:r>
              <w:t>IV</w:t>
            </w:r>
          </w:p>
        </w:tc>
        <w:tc>
          <w:tcPr>
            <w:tcW w:w="6308" w:type="dxa"/>
          </w:tcPr>
          <w:p w14:paraId="139020B0" w14:textId="77777777" w:rsidR="0075552D" w:rsidRDefault="0075552D" w:rsidP="0075552D">
            <w:r>
              <w:t>Submit monthly or quarterly reports demonstrating compliance with prudential, operational, and reporting standards.</w:t>
            </w:r>
          </w:p>
        </w:tc>
      </w:tr>
      <w:tr w:rsidR="00416DFA" w14:paraId="59BBA4D6" w14:textId="77777777" w:rsidTr="002E43D9">
        <w:trPr>
          <w:trHeight w:val="289"/>
        </w:trPr>
        <w:tc>
          <w:tcPr>
            <w:tcW w:w="2880" w:type="dxa"/>
          </w:tcPr>
          <w:p w14:paraId="55411D0D" w14:textId="77777777" w:rsidR="00416DFA" w:rsidRDefault="00416DFA" w:rsidP="0075552D"/>
        </w:tc>
        <w:tc>
          <w:tcPr>
            <w:tcW w:w="535" w:type="dxa"/>
          </w:tcPr>
          <w:p w14:paraId="3E0470B0" w14:textId="77777777" w:rsidR="00416DFA" w:rsidRDefault="00416DFA" w:rsidP="0075552D"/>
        </w:tc>
        <w:tc>
          <w:tcPr>
            <w:tcW w:w="488" w:type="dxa"/>
          </w:tcPr>
          <w:p w14:paraId="4B63D82B" w14:textId="77777777" w:rsidR="00416DFA" w:rsidRDefault="00416DFA" w:rsidP="0075552D">
            <w:pPr>
              <w:jc w:val="center"/>
            </w:pPr>
          </w:p>
        </w:tc>
        <w:tc>
          <w:tcPr>
            <w:tcW w:w="592" w:type="dxa"/>
          </w:tcPr>
          <w:p w14:paraId="5068C75B" w14:textId="110776A9" w:rsidR="00416DFA" w:rsidRDefault="00416DFA" w:rsidP="0075552D">
            <w:pPr>
              <w:jc w:val="center"/>
            </w:pPr>
            <w:r>
              <w:t>V</w:t>
            </w:r>
          </w:p>
        </w:tc>
        <w:tc>
          <w:tcPr>
            <w:tcW w:w="6308" w:type="dxa"/>
          </w:tcPr>
          <w:p w14:paraId="5EB4D0D0" w14:textId="3923FE6C" w:rsidR="00416DFA" w:rsidRDefault="00416DFA" w:rsidP="0075552D">
            <w:r>
              <w:t>Submit audited financial statements and capital adequacy reports annually.</w:t>
            </w:r>
          </w:p>
        </w:tc>
      </w:tr>
      <w:tr w:rsidR="0075552D" w14:paraId="25FE982D" w14:textId="77777777" w:rsidTr="002E43D9">
        <w:trPr>
          <w:trHeight w:val="289"/>
        </w:trPr>
        <w:tc>
          <w:tcPr>
            <w:tcW w:w="2880" w:type="dxa"/>
          </w:tcPr>
          <w:p w14:paraId="6B428026" w14:textId="60DBDEF1" w:rsidR="0075552D" w:rsidRDefault="0075552D" w:rsidP="00960B74">
            <w:pPr>
              <w:rPr>
                <w:b/>
              </w:rPr>
            </w:pPr>
            <w:r>
              <w:rPr>
                <w:b/>
              </w:rPr>
              <w:lastRenderedPageBreak/>
              <w:t xml:space="preserve">Tier 3 – </w:t>
            </w:r>
            <w:r w:rsidR="00960B74" w:rsidRPr="00960B74">
              <w:rPr>
                <w:b/>
              </w:rPr>
              <w:t>Sandbox S-VASP</w:t>
            </w:r>
            <w:r w:rsidR="000B792D">
              <w:rPr>
                <w:b/>
              </w:rPr>
              <w:t xml:space="preserve"> Continuing Requirements: </w:t>
            </w:r>
          </w:p>
        </w:tc>
        <w:tc>
          <w:tcPr>
            <w:tcW w:w="535" w:type="dxa"/>
          </w:tcPr>
          <w:p w14:paraId="713B203F" w14:textId="75C9DAA0" w:rsidR="0075552D" w:rsidRDefault="0075552D" w:rsidP="0075552D">
            <w:r>
              <w:t>1</w:t>
            </w:r>
            <w:r w:rsidR="00724C7D">
              <w:t>4</w:t>
            </w:r>
            <w:r>
              <w:t>.</w:t>
            </w:r>
          </w:p>
        </w:tc>
        <w:tc>
          <w:tcPr>
            <w:tcW w:w="488" w:type="dxa"/>
          </w:tcPr>
          <w:p w14:paraId="04510734" w14:textId="71BCCC48" w:rsidR="0075552D" w:rsidRDefault="0075552D" w:rsidP="0075552D">
            <w:pPr>
              <w:jc w:val="center"/>
            </w:pPr>
          </w:p>
        </w:tc>
        <w:tc>
          <w:tcPr>
            <w:tcW w:w="592" w:type="dxa"/>
          </w:tcPr>
          <w:p w14:paraId="338E022D" w14:textId="777AF88C" w:rsidR="0075552D" w:rsidRDefault="009F78EF" w:rsidP="0075552D">
            <w:pPr>
              <w:jc w:val="center"/>
            </w:pPr>
            <w:r>
              <w:t>I</w:t>
            </w:r>
          </w:p>
        </w:tc>
        <w:tc>
          <w:tcPr>
            <w:tcW w:w="6308" w:type="dxa"/>
          </w:tcPr>
          <w:p w14:paraId="69F6393C" w14:textId="5F67BBD6" w:rsidR="0075552D" w:rsidRDefault="009F78EF" w:rsidP="0075552D">
            <w:r>
              <w:rPr>
                <w:color w:val="000000"/>
              </w:rPr>
              <w:t xml:space="preserve">Sandbox S-VASP shall satisfy the conditions stipulated in 10 (c). </w:t>
            </w:r>
          </w:p>
        </w:tc>
      </w:tr>
      <w:tr w:rsidR="0075552D" w14:paraId="0438AD47" w14:textId="77777777" w:rsidTr="002E43D9">
        <w:trPr>
          <w:trHeight w:val="289"/>
        </w:trPr>
        <w:tc>
          <w:tcPr>
            <w:tcW w:w="2880" w:type="dxa"/>
          </w:tcPr>
          <w:p w14:paraId="076C73D5" w14:textId="77777777" w:rsidR="0075552D" w:rsidRDefault="0075552D" w:rsidP="0075552D"/>
        </w:tc>
        <w:tc>
          <w:tcPr>
            <w:tcW w:w="535" w:type="dxa"/>
          </w:tcPr>
          <w:p w14:paraId="66A45781" w14:textId="77777777" w:rsidR="0075552D" w:rsidRDefault="0075552D" w:rsidP="0075552D"/>
        </w:tc>
        <w:tc>
          <w:tcPr>
            <w:tcW w:w="488" w:type="dxa"/>
          </w:tcPr>
          <w:p w14:paraId="49BDDCFF" w14:textId="77777777" w:rsidR="0075552D" w:rsidRDefault="0075552D" w:rsidP="0075552D">
            <w:pPr>
              <w:jc w:val="center"/>
            </w:pPr>
          </w:p>
        </w:tc>
        <w:tc>
          <w:tcPr>
            <w:tcW w:w="592" w:type="dxa"/>
          </w:tcPr>
          <w:p w14:paraId="13D3FECD" w14:textId="48A5860B" w:rsidR="0075552D" w:rsidRDefault="009F78EF" w:rsidP="0075552D">
            <w:pPr>
              <w:jc w:val="center"/>
            </w:pPr>
            <w:r>
              <w:t>II</w:t>
            </w:r>
          </w:p>
        </w:tc>
        <w:tc>
          <w:tcPr>
            <w:tcW w:w="6308" w:type="dxa"/>
          </w:tcPr>
          <w:p w14:paraId="4C469266" w14:textId="77777777" w:rsidR="0075552D" w:rsidRDefault="0075552D" w:rsidP="0075552D">
            <w:r>
              <w:t>Must apply for Tier 1 or Tier 2 license upon successful testing.</w:t>
            </w:r>
          </w:p>
          <w:p w14:paraId="46E2C1FC" w14:textId="77777777" w:rsidR="009F78EF" w:rsidRDefault="009F78EF" w:rsidP="0075552D"/>
        </w:tc>
      </w:tr>
      <w:tr w:rsidR="0075552D" w14:paraId="430D50E2" w14:textId="77777777" w:rsidTr="002E43D9">
        <w:trPr>
          <w:trHeight w:val="289"/>
        </w:trPr>
        <w:tc>
          <w:tcPr>
            <w:tcW w:w="2880" w:type="dxa"/>
          </w:tcPr>
          <w:p w14:paraId="0D5C3046" w14:textId="77777777" w:rsidR="0075552D" w:rsidRDefault="0075552D" w:rsidP="0075552D">
            <w:pPr>
              <w:rPr>
                <w:b/>
              </w:rPr>
            </w:pPr>
            <w:r>
              <w:rPr>
                <w:b/>
              </w:rPr>
              <w:t>Licensing Terms and Renewal:</w:t>
            </w:r>
          </w:p>
        </w:tc>
        <w:tc>
          <w:tcPr>
            <w:tcW w:w="535" w:type="dxa"/>
          </w:tcPr>
          <w:p w14:paraId="24B498BE" w14:textId="1B68CBD2" w:rsidR="0075552D" w:rsidRDefault="0075552D" w:rsidP="0075552D">
            <w:r>
              <w:t>1</w:t>
            </w:r>
            <w:r w:rsidR="00724C7D">
              <w:t>5</w:t>
            </w:r>
            <w:r>
              <w:t>.</w:t>
            </w:r>
          </w:p>
        </w:tc>
        <w:tc>
          <w:tcPr>
            <w:tcW w:w="488" w:type="dxa"/>
          </w:tcPr>
          <w:p w14:paraId="3F54640D" w14:textId="77777777" w:rsidR="0075552D" w:rsidRDefault="0075552D" w:rsidP="0075552D">
            <w:pPr>
              <w:jc w:val="center"/>
            </w:pPr>
            <w:r>
              <w:t>(a)</w:t>
            </w:r>
          </w:p>
        </w:tc>
        <w:tc>
          <w:tcPr>
            <w:tcW w:w="592" w:type="dxa"/>
          </w:tcPr>
          <w:p w14:paraId="238F14F3" w14:textId="77777777" w:rsidR="0075552D" w:rsidRDefault="0075552D" w:rsidP="0075552D">
            <w:pPr>
              <w:jc w:val="center"/>
            </w:pPr>
          </w:p>
        </w:tc>
        <w:tc>
          <w:tcPr>
            <w:tcW w:w="6308" w:type="dxa"/>
          </w:tcPr>
          <w:p w14:paraId="43237A08" w14:textId="79366B40" w:rsidR="0075552D" w:rsidRDefault="0075552D" w:rsidP="0075552D">
            <w:r>
              <w:t xml:space="preserve">Licenses shall be valid for </w:t>
            </w:r>
            <w:r w:rsidR="00801718">
              <w:t>five</w:t>
            </w:r>
            <w:r>
              <w:t xml:space="preserve"> (</w:t>
            </w:r>
            <w:r w:rsidR="00801718">
              <w:t>5</w:t>
            </w:r>
            <w:r>
              <w:t>) years and renewable upon application at least sixty (60) days prior to expiry;</w:t>
            </w:r>
            <w:r w:rsidR="00535E1C">
              <w:t xml:space="preserve"> </w:t>
            </w:r>
          </w:p>
        </w:tc>
      </w:tr>
      <w:tr w:rsidR="0075552D" w14:paraId="10589C54" w14:textId="77777777" w:rsidTr="002E43D9">
        <w:trPr>
          <w:trHeight w:val="289"/>
        </w:trPr>
        <w:tc>
          <w:tcPr>
            <w:tcW w:w="2880" w:type="dxa"/>
          </w:tcPr>
          <w:p w14:paraId="70E4CEFB" w14:textId="77777777" w:rsidR="0075552D" w:rsidRDefault="0075552D" w:rsidP="0075552D"/>
        </w:tc>
        <w:tc>
          <w:tcPr>
            <w:tcW w:w="535" w:type="dxa"/>
          </w:tcPr>
          <w:p w14:paraId="14E56E12" w14:textId="77777777" w:rsidR="0075552D" w:rsidRDefault="0075552D" w:rsidP="0075552D"/>
        </w:tc>
        <w:tc>
          <w:tcPr>
            <w:tcW w:w="488" w:type="dxa"/>
          </w:tcPr>
          <w:p w14:paraId="40BC57D2" w14:textId="77777777" w:rsidR="0075552D" w:rsidRDefault="0075552D" w:rsidP="0075552D">
            <w:pPr>
              <w:jc w:val="center"/>
            </w:pPr>
            <w:r>
              <w:t>(b)</w:t>
            </w:r>
          </w:p>
        </w:tc>
        <w:tc>
          <w:tcPr>
            <w:tcW w:w="592" w:type="dxa"/>
          </w:tcPr>
          <w:p w14:paraId="1481DE5F" w14:textId="77777777" w:rsidR="0075552D" w:rsidRDefault="0075552D" w:rsidP="0075552D">
            <w:pPr>
              <w:jc w:val="center"/>
            </w:pPr>
          </w:p>
        </w:tc>
        <w:tc>
          <w:tcPr>
            <w:tcW w:w="6308" w:type="dxa"/>
          </w:tcPr>
          <w:p w14:paraId="553C9623" w14:textId="77777777" w:rsidR="0075552D" w:rsidRDefault="0075552D" w:rsidP="0075552D">
            <w:r>
              <w:t>The Authority may suspend, revoke, or vary a license for non-compliance, subject to due process;</w:t>
            </w:r>
          </w:p>
        </w:tc>
      </w:tr>
      <w:tr w:rsidR="0075552D" w14:paraId="23D0E802" w14:textId="77777777" w:rsidTr="002E43D9">
        <w:trPr>
          <w:trHeight w:val="289"/>
        </w:trPr>
        <w:tc>
          <w:tcPr>
            <w:tcW w:w="2880" w:type="dxa"/>
          </w:tcPr>
          <w:p w14:paraId="3271ED4D" w14:textId="77777777" w:rsidR="0075552D" w:rsidRDefault="0075552D" w:rsidP="0075552D"/>
        </w:tc>
        <w:tc>
          <w:tcPr>
            <w:tcW w:w="535" w:type="dxa"/>
          </w:tcPr>
          <w:p w14:paraId="57A971F2" w14:textId="77777777" w:rsidR="0075552D" w:rsidRDefault="0075552D" w:rsidP="0075552D"/>
        </w:tc>
        <w:tc>
          <w:tcPr>
            <w:tcW w:w="488" w:type="dxa"/>
          </w:tcPr>
          <w:p w14:paraId="1A853BFD" w14:textId="02B99483" w:rsidR="0075552D" w:rsidRDefault="0075552D" w:rsidP="0075552D">
            <w:pPr>
              <w:jc w:val="center"/>
            </w:pPr>
          </w:p>
        </w:tc>
        <w:tc>
          <w:tcPr>
            <w:tcW w:w="592" w:type="dxa"/>
          </w:tcPr>
          <w:p w14:paraId="045B220B" w14:textId="77777777" w:rsidR="0075552D" w:rsidRDefault="0075552D" w:rsidP="0075552D">
            <w:pPr>
              <w:jc w:val="center"/>
            </w:pPr>
          </w:p>
        </w:tc>
        <w:tc>
          <w:tcPr>
            <w:tcW w:w="6308" w:type="dxa"/>
          </w:tcPr>
          <w:p w14:paraId="3735BE43" w14:textId="1C95423A" w:rsidR="0075552D" w:rsidRDefault="0075552D" w:rsidP="0075552D"/>
        </w:tc>
      </w:tr>
      <w:tr w:rsidR="008C07E1" w14:paraId="3F4C3290" w14:textId="77777777" w:rsidTr="002E43D9">
        <w:trPr>
          <w:trHeight w:val="289"/>
        </w:trPr>
        <w:tc>
          <w:tcPr>
            <w:tcW w:w="2880" w:type="dxa"/>
          </w:tcPr>
          <w:p w14:paraId="63654E38" w14:textId="37A89AB0" w:rsidR="008C07E1" w:rsidRDefault="008C07E1" w:rsidP="0075552D">
            <w:pPr>
              <w:rPr>
                <w:b/>
              </w:rPr>
            </w:pPr>
            <w:r>
              <w:rPr>
                <w:b/>
              </w:rPr>
              <w:t>Change in Control</w:t>
            </w:r>
          </w:p>
        </w:tc>
        <w:tc>
          <w:tcPr>
            <w:tcW w:w="535" w:type="dxa"/>
          </w:tcPr>
          <w:p w14:paraId="40769DA0" w14:textId="629E3D47" w:rsidR="008C07E1" w:rsidRDefault="008C07E1" w:rsidP="0075552D">
            <w:r>
              <w:t>1</w:t>
            </w:r>
            <w:r w:rsidR="00724C7D">
              <w:t>6</w:t>
            </w:r>
            <w:r>
              <w:t>.</w:t>
            </w:r>
          </w:p>
        </w:tc>
        <w:tc>
          <w:tcPr>
            <w:tcW w:w="488" w:type="dxa"/>
          </w:tcPr>
          <w:p w14:paraId="2189D074" w14:textId="4F266830" w:rsidR="008C07E1" w:rsidRDefault="008C07E1" w:rsidP="0075552D">
            <w:pPr>
              <w:jc w:val="center"/>
            </w:pPr>
            <w:r>
              <w:t>(a)</w:t>
            </w:r>
          </w:p>
        </w:tc>
        <w:tc>
          <w:tcPr>
            <w:tcW w:w="592" w:type="dxa"/>
          </w:tcPr>
          <w:p w14:paraId="3F0EB700" w14:textId="77777777" w:rsidR="008C07E1" w:rsidRDefault="008C07E1" w:rsidP="0075552D">
            <w:pPr>
              <w:jc w:val="center"/>
            </w:pPr>
          </w:p>
        </w:tc>
        <w:tc>
          <w:tcPr>
            <w:tcW w:w="6308" w:type="dxa"/>
          </w:tcPr>
          <w:p w14:paraId="328F5211" w14:textId="2F3D5D87" w:rsidR="008C07E1" w:rsidRDefault="008C07E1" w:rsidP="0075552D">
            <w:r>
              <w:t xml:space="preserve">Prior approval of the Authority shall be required for any change in control, ownership, or merger involving a licensed </w:t>
            </w:r>
            <w:r w:rsidR="00F07671">
              <w:t>S-</w:t>
            </w:r>
            <w:r>
              <w:t>VASP.</w:t>
            </w:r>
          </w:p>
        </w:tc>
      </w:tr>
      <w:tr w:rsidR="0075552D" w14:paraId="4A0B8242" w14:textId="77777777" w:rsidTr="002E43D9">
        <w:trPr>
          <w:trHeight w:val="289"/>
        </w:trPr>
        <w:tc>
          <w:tcPr>
            <w:tcW w:w="2880" w:type="dxa"/>
          </w:tcPr>
          <w:p w14:paraId="20615C23" w14:textId="2C16511F" w:rsidR="0075552D" w:rsidRDefault="0075552D" w:rsidP="0075552D">
            <w:pPr>
              <w:rPr>
                <w:b/>
              </w:rPr>
            </w:pPr>
          </w:p>
        </w:tc>
        <w:tc>
          <w:tcPr>
            <w:tcW w:w="535" w:type="dxa"/>
          </w:tcPr>
          <w:p w14:paraId="52186229" w14:textId="727A2635" w:rsidR="0075552D" w:rsidRDefault="0075552D" w:rsidP="0075552D"/>
        </w:tc>
        <w:tc>
          <w:tcPr>
            <w:tcW w:w="488" w:type="dxa"/>
          </w:tcPr>
          <w:p w14:paraId="0C7AA89F" w14:textId="73DB06D6" w:rsidR="0075552D" w:rsidRDefault="0075552D" w:rsidP="0075552D">
            <w:pPr>
              <w:jc w:val="center"/>
            </w:pPr>
            <w:r>
              <w:t>(</w:t>
            </w:r>
            <w:r w:rsidR="008C07E1">
              <w:t>b</w:t>
            </w:r>
            <w:r>
              <w:t>)</w:t>
            </w:r>
          </w:p>
        </w:tc>
        <w:tc>
          <w:tcPr>
            <w:tcW w:w="592" w:type="dxa"/>
          </w:tcPr>
          <w:p w14:paraId="58A39A8D" w14:textId="77777777" w:rsidR="0075552D" w:rsidRDefault="0075552D" w:rsidP="0075552D">
            <w:pPr>
              <w:jc w:val="center"/>
            </w:pPr>
          </w:p>
        </w:tc>
        <w:tc>
          <w:tcPr>
            <w:tcW w:w="6308" w:type="dxa"/>
          </w:tcPr>
          <w:p w14:paraId="176CF54E" w14:textId="6039D1AB" w:rsidR="0075552D" w:rsidRDefault="0075552D" w:rsidP="0075552D">
            <w:r>
              <w:t>Any acquisition of ≥10% of share capital or voting rights in a licensed S</w:t>
            </w:r>
            <w:r w:rsidR="00F07671">
              <w:t>-</w:t>
            </w:r>
            <w:r>
              <w:t>VASP requires prior written approval from the Authority.</w:t>
            </w:r>
          </w:p>
        </w:tc>
      </w:tr>
      <w:tr w:rsidR="0075552D" w14:paraId="2A0A4727" w14:textId="77777777" w:rsidTr="002E43D9">
        <w:trPr>
          <w:trHeight w:val="289"/>
        </w:trPr>
        <w:tc>
          <w:tcPr>
            <w:tcW w:w="2880" w:type="dxa"/>
          </w:tcPr>
          <w:p w14:paraId="3690FE69" w14:textId="77777777" w:rsidR="0075552D" w:rsidRDefault="0075552D" w:rsidP="0075552D">
            <w:pPr>
              <w:rPr>
                <w:b/>
              </w:rPr>
            </w:pPr>
          </w:p>
        </w:tc>
        <w:tc>
          <w:tcPr>
            <w:tcW w:w="535" w:type="dxa"/>
          </w:tcPr>
          <w:p w14:paraId="737CD337" w14:textId="77777777" w:rsidR="0075552D" w:rsidRDefault="0075552D" w:rsidP="0075552D"/>
        </w:tc>
        <w:tc>
          <w:tcPr>
            <w:tcW w:w="488" w:type="dxa"/>
          </w:tcPr>
          <w:p w14:paraId="16BFD35A" w14:textId="4E87A3BA" w:rsidR="0075552D" w:rsidRDefault="0075552D" w:rsidP="0075552D">
            <w:pPr>
              <w:jc w:val="center"/>
            </w:pPr>
            <w:r>
              <w:t>(</w:t>
            </w:r>
            <w:r w:rsidR="008C07E1">
              <w:t>c</w:t>
            </w:r>
            <w:r>
              <w:t>)</w:t>
            </w:r>
          </w:p>
        </w:tc>
        <w:tc>
          <w:tcPr>
            <w:tcW w:w="592" w:type="dxa"/>
          </w:tcPr>
          <w:p w14:paraId="581BEC99" w14:textId="77777777" w:rsidR="0075552D" w:rsidRDefault="0075552D" w:rsidP="0075552D">
            <w:pPr>
              <w:jc w:val="center"/>
            </w:pPr>
          </w:p>
        </w:tc>
        <w:tc>
          <w:tcPr>
            <w:tcW w:w="6308" w:type="dxa"/>
          </w:tcPr>
          <w:p w14:paraId="42509FAB" w14:textId="7398A169" w:rsidR="0075552D" w:rsidRDefault="0075552D" w:rsidP="0075552D">
            <w:r>
              <w:t xml:space="preserve">The Authority may reject the proposed change </w:t>
            </w:r>
            <w:r w:rsidR="00F07671">
              <w:t xml:space="preserve">under subsection (a) and (b), </w:t>
            </w:r>
            <w:r>
              <w:t>where the acquirer fails to meet fit-and-proper criteria or poses a risk to sound management.</w:t>
            </w:r>
          </w:p>
        </w:tc>
      </w:tr>
      <w:tr w:rsidR="0075552D" w14:paraId="2F2EF147" w14:textId="77777777" w:rsidTr="002E43D9">
        <w:trPr>
          <w:trHeight w:val="289"/>
        </w:trPr>
        <w:tc>
          <w:tcPr>
            <w:tcW w:w="2880" w:type="dxa"/>
          </w:tcPr>
          <w:p w14:paraId="67586973" w14:textId="77777777" w:rsidR="0075552D" w:rsidRDefault="0075552D" w:rsidP="0075552D">
            <w:pPr>
              <w:rPr>
                <w:b/>
              </w:rPr>
            </w:pPr>
          </w:p>
        </w:tc>
        <w:tc>
          <w:tcPr>
            <w:tcW w:w="535" w:type="dxa"/>
          </w:tcPr>
          <w:p w14:paraId="45D24927" w14:textId="77777777" w:rsidR="0075552D" w:rsidRDefault="0075552D" w:rsidP="0075552D"/>
        </w:tc>
        <w:tc>
          <w:tcPr>
            <w:tcW w:w="488" w:type="dxa"/>
          </w:tcPr>
          <w:p w14:paraId="2F4D37FB" w14:textId="6FF9BDDF" w:rsidR="0075552D" w:rsidRDefault="0075552D" w:rsidP="0075552D">
            <w:pPr>
              <w:jc w:val="center"/>
            </w:pPr>
            <w:r>
              <w:t>(</w:t>
            </w:r>
            <w:r w:rsidR="008C07E1">
              <w:t>d</w:t>
            </w:r>
            <w:r>
              <w:t>)</w:t>
            </w:r>
          </w:p>
        </w:tc>
        <w:tc>
          <w:tcPr>
            <w:tcW w:w="592" w:type="dxa"/>
          </w:tcPr>
          <w:p w14:paraId="406977B8" w14:textId="77777777" w:rsidR="0075552D" w:rsidRDefault="0075552D" w:rsidP="0075552D">
            <w:pPr>
              <w:jc w:val="center"/>
            </w:pPr>
          </w:p>
        </w:tc>
        <w:tc>
          <w:tcPr>
            <w:tcW w:w="6308" w:type="dxa"/>
          </w:tcPr>
          <w:p w14:paraId="29229806" w14:textId="77777777" w:rsidR="0075552D" w:rsidRDefault="0075552D" w:rsidP="0075552D">
            <w:r>
              <w:t>Unapproved changes may result in suspension or revocation.</w:t>
            </w:r>
          </w:p>
        </w:tc>
      </w:tr>
      <w:tr w:rsidR="0075552D" w14:paraId="5ECA767C" w14:textId="77777777" w:rsidTr="002E43D9">
        <w:trPr>
          <w:trHeight w:val="289"/>
        </w:trPr>
        <w:tc>
          <w:tcPr>
            <w:tcW w:w="2880" w:type="dxa"/>
          </w:tcPr>
          <w:p w14:paraId="36EAF521" w14:textId="77777777" w:rsidR="0075552D" w:rsidRDefault="0075552D" w:rsidP="0075552D">
            <w:pPr>
              <w:rPr>
                <w:b/>
              </w:rPr>
            </w:pPr>
            <w:r>
              <w:rPr>
                <w:b/>
              </w:rPr>
              <w:t>Cross-Border Recognition</w:t>
            </w:r>
          </w:p>
        </w:tc>
        <w:tc>
          <w:tcPr>
            <w:tcW w:w="535" w:type="dxa"/>
          </w:tcPr>
          <w:p w14:paraId="6ECABFA3" w14:textId="62DD9AD1" w:rsidR="0075552D" w:rsidRDefault="0075552D" w:rsidP="0075552D">
            <w:r>
              <w:t>1</w:t>
            </w:r>
            <w:r w:rsidR="006E6A9A">
              <w:t>7</w:t>
            </w:r>
            <w:r>
              <w:t>.</w:t>
            </w:r>
          </w:p>
        </w:tc>
        <w:tc>
          <w:tcPr>
            <w:tcW w:w="488" w:type="dxa"/>
          </w:tcPr>
          <w:p w14:paraId="7326C972" w14:textId="77777777" w:rsidR="0075552D" w:rsidRDefault="0075552D" w:rsidP="0075552D">
            <w:pPr>
              <w:jc w:val="center"/>
            </w:pPr>
          </w:p>
        </w:tc>
        <w:tc>
          <w:tcPr>
            <w:tcW w:w="592" w:type="dxa"/>
          </w:tcPr>
          <w:p w14:paraId="320B16B9" w14:textId="77777777" w:rsidR="0075552D" w:rsidRDefault="0075552D" w:rsidP="0075552D">
            <w:pPr>
              <w:jc w:val="center"/>
            </w:pPr>
          </w:p>
        </w:tc>
        <w:tc>
          <w:tcPr>
            <w:tcW w:w="6308" w:type="dxa"/>
          </w:tcPr>
          <w:p w14:paraId="6E7377DE" w14:textId="4B983508" w:rsidR="0075552D" w:rsidRDefault="0075552D" w:rsidP="0075552D">
            <w:r>
              <w:t xml:space="preserve">The Authority may recognize foreign </w:t>
            </w:r>
            <w:r w:rsidR="00630155">
              <w:t>S-</w:t>
            </w:r>
            <w:r>
              <w:t>VASPs from jurisdictions with equivalent regulatory standards</w:t>
            </w:r>
            <w:r w:rsidR="0056512D">
              <w:t xml:space="preserve">. </w:t>
            </w:r>
          </w:p>
        </w:tc>
      </w:tr>
      <w:tr w:rsidR="006C7D65" w14:paraId="61246039" w14:textId="77777777" w:rsidTr="0006185F">
        <w:trPr>
          <w:trHeight w:val="289"/>
        </w:trPr>
        <w:tc>
          <w:tcPr>
            <w:tcW w:w="10803" w:type="dxa"/>
            <w:gridSpan w:val="5"/>
          </w:tcPr>
          <w:p w14:paraId="6A93DEDF" w14:textId="77777777" w:rsidR="006C7D65" w:rsidRDefault="006C7D65" w:rsidP="006C7D65">
            <w:pPr>
              <w:widowControl w:val="0"/>
              <w:pBdr>
                <w:top w:val="nil"/>
                <w:left w:val="nil"/>
                <w:bottom w:val="nil"/>
                <w:right w:val="nil"/>
                <w:between w:val="nil"/>
              </w:pBdr>
              <w:spacing w:line="276" w:lineRule="auto"/>
              <w:jc w:val="center"/>
              <w:rPr>
                <w:b/>
                <w:color w:val="000000"/>
                <w:sz w:val="28"/>
                <w:szCs w:val="28"/>
              </w:rPr>
            </w:pPr>
          </w:p>
          <w:p w14:paraId="769275DC" w14:textId="56EEA1AF" w:rsidR="006C7D65" w:rsidRDefault="006C7D65" w:rsidP="006C7D65">
            <w:pPr>
              <w:widowControl w:val="0"/>
              <w:pBdr>
                <w:top w:val="nil"/>
                <w:left w:val="nil"/>
                <w:bottom w:val="nil"/>
                <w:right w:val="nil"/>
                <w:between w:val="nil"/>
              </w:pBdr>
              <w:spacing w:line="276" w:lineRule="auto"/>
              <w:jc w:val="center"/>
            </w:pPr>
            <w:r>
              <w:rPr>
                <w:b/>
                <w:color w:val="000000"/>
                <w:sz w:val="28"/>
                <w:szCs w:val="28"/>
              </w:rPr>
              <w:t xml:space="preserve">Chapter 3: </w:t>
            </w:r>
            <w:r w:rsidR="000E4CE5">
              <w:rPr>
                <w:b/>
                <w:color w:val="000000"/>
                <w:sz w:val="28"/>
                <w:szCs w:val="28"/>
              </w:rPr>
              <w:t>Permitting</w:t>
            </w:r>
            <w:r>
              <w:rPr>
                <w:b/>
                <w:color w:val="000000"/>
                <w:sz w:val="28"/>
                <w:szCs w:val="28"/>
              </w:rPr>
              <w:t xml:space="preserve"> Securities Virtual Assets </w:t>
            </w:r>
          </w:p>
          <w:p w14:paraId="5BFBACE3" w14:textId="77777777" w:rsidR="006C7D65" w:rsidRDefault="006C7D65" w:rsidP="0075552D"/>
        </w:tc>
      </w:tr>
      <w:tr w:rsidR="006343A7" w14:paraId="2333AB5C" w14:textId="77777777" w:rsidTr="002E43D9">
        <w:trPr>
          <w:trHeight w:val="289"/>
        </w:trPr>
        <w:tc>
          <w:tcPr>
            <w:tcW w:w="2880" w:type="dxa"/>
          </w:tcPr>
          <w:p w14:paraId="23D0B8AF" w14:textId="5AB9CC7D" w:rsidR="006343A7" w:rsidRPr="00B75030" w:rsidRDefault="006343A7" w:rsidP="00B75030">
            <w:pPr>
              <w:rPr>
                <w:b/>
                <w:bCs/>
              </w:rPr>
            </w:pPr>
            <w:r>
              <w:rPr>
                <w:b/>
                <w:bCs/>
              </w:rPr>
              <w:t xml:space="preserve">Permitting Securities Virtual  Assets </w:t>
            </w:r>
          </w:p>
        </w:tc>
        <w:tc>
          <w:tcPr>
            <w:tcW w:w="535" w:type="dxa"/>
          </w:tcPr>
          <w:p w14:paraId="1949D8C2" w14:textId="2AF9C659" w:rsidR="006343A7" w:rsidRPr="00BA3DA4" w:rsidRDefault="00501575" w:rsidP="00B75030">
            <w:r>
              <w:t>1</w:t>
            </w:r>
            <w:r w:rsidR="006E6A9A">
              <w:t>8</w:t>
            </w:r>
            <w:r w:rsidR="006343A7">
              <w:t xml:space="preserve">. </w:t>
            </w:r>
          </w:p>
        </w:tc>
        <w:tc>
          <w:tcPr>
            <w:tcW w:w="488" w:type="dxa"/>
          </w:tcPr>
          <w:p w14:paraId="410D5362" w14:textId="77777777" w:rsidR="006343A7" w:rsidRPr="00BA3DA4" w:rsidRDefault="006343A7" w:rsidP="00B75030">
            <w:pPr>
              <w:jc w:val="center"/>
            </w:pPr>
          </w:p>
        </w:tc>
        <w:tc>
          <w:tcPr>
            <w:tcW w:w="592" w:type="dxa"/>
          </w:tcPr>
          <w:p w14:paraId="3744A653" w14:textId="77777777" w:rsidR="006343A7" w:rsidRDefault="006343A7" w:rsidP="00B75030">
            <w:pPr>
              <w:jc w:val="center"/>
            </w:pPr>
          </w:p>
        </w:tc>
        <w:tc>
          <w:tcPr>
            <w:tcW w:w="6308" w:type="dxa"/>
          </w:tcPr>
          <w:p w14:paraId="5FADA22E" w14:textId="770A7CDE" w:rsidR="006343A7" w:rsidRPr="00BA3DA4" w:rsidRDefault="004E0BB7" w:rsidP="00B75030">
            <w:r>
              <w:t xml:space="preserve">Any Securities Virtual Assets may be issued only through a Securities Virtual Assets Service Provider (S-VASP) registered and licensed under the provisions of this Regulation. </w:t>
            </w:r>
          </w:p>
        </w:tc>
      </w:tr>
      <w:tr w:rsidR="00B75030" w14:paraId="6CA31910" w14:textId="77777777" w:rsidTr="002E43D9">
        <w:trPr>
          <w:trHeight w:val="289"/>
        </w:trPr>
        <w:tc>
          <w:tcPr>
            <w:tcW w:w="2880" w:type="dxa"/>
          </w:tcPr>
          <w:p w14:paraId="38020DF7" w14:textId="513B635B" w:rsidR="00B75030" w:rsidRPr="00B75030" w:rsidRDefault="00B75030" w:rsidP="00B75030">
            <w:pPr>
              <w:rPr>
                <w:b/>
                <w:bCs/>
              </w:rPr>
            </w:pPr>
            <w:r w:rsidRPr="00B75030">
              <w:rPr>
                <w:b/>
                <w:bCs/>
              </w:rPr>
              <w:t>Obligations Relating to Token Approval</w:t>
            </w:r>
          </w:p>
        </w:tc>
        <w:tc>
          <w:tcPr>
            <w:tcW w:w="535" w:type="dxa"/>
          </w:tcPr>
          <w:p w14:paraId="41DE7D05" w14:textId="0160C691" w:rsidR="00B75030" w:rsidRDefault="00BD0076" w:rsidP="00B75030">
            <w:r>
              <w:t>1</w:t>
            </w:r>
            <w:r w:rsidR="00CF1DD0">
              <w:t>9</w:t>
            </w:r>
            <w:r w:rsidR="00B75030" w:rsidRPr="00BA3DA4">
              <w:t>.</w:t>
            </w:r>
          </w:p>
        </w:tc>
        <w:tc>
          <w:tcPr>
            <w:tcW w:w="488" w:type="dxa"/>
          </w:tcPr>
          <w:p w14:paraId="0F6EFCD0" w14:textId="62C523FF" w:rsidR="00B75030" w:rsidRDefault="00B75030" w:rsidP="00B75030">
            <w:pPr>
              <w:jc w:val="center"/>
            </w:pPr>
            <w:r w:rsidRPr="00BA3DA4">
              <w:t>(a)</w:t>
            </w:r>
          </w:p>
        </w:tc>
        <w:tc>
          <w:tcPr>
            <w:tcW w:w="592" w:type="dxa"/>
          </w:tcPr>
          <w:p w14:paraId="2FE582CB" w14:textId="77777777" w:rsidR="00B75030" w:rsidRDefault="00B75030" w:rsidP="00B75030">
            <w:pPr>
              <w:jc w:val="center"/>
            </w:pPr>
          </w:p>
        </w:tc>
        <w:tc>
          <w:tcPr>
            <w:tcW w:w="6308" w:type="dxa"/>
          </w:tcPr>
          <w:p w14:paraId="12D76750" w14:textId="4002D111" w:rsidR="00B75030" w:rsidRDefault="00B75030" w:rsidP="00B75030">
            <w:r w:rsidRPr="00BA3DA4">
              <w:t>Where a S-VASP proposes to issue or list a token, the S-VASP shall ensure that:</w:t>
            </w:r>
          </w:p>
        </w:tc>
      </w:tr>
      <w:tr w:rsidR="00B75030" w14:paraId="38FE95C1" w14:textId="77777777" w:rsidTr="002E43D9">
        <w:trPr>
          <w:trHeight w:val="289"/>
        </w:trPr>
        <w:tc>
          <w:tcPr>
            <w:tcW w:w="2880" w:type="dxa"/>
          </w:tcPr>
          <w:p w14:paraId="495C012F" w14:textId="77777777" w:rsidR="00B75030" w:rsidRDefault="00B75030" w:rsidP="00B75030">
            <w:pPr>
              <w:rPr>
                <w:b/>
              </w:rPr>
            </w:pPr>
          </w:p>
        </w:tc>
        <w:tc>
          <w:tcPr>
            <w:tcW w:w="535" w:type="dxa"/>
          </w:tcPr>
          <w:p w14:paraId="69A63D0A" w14:textId="77777777" w:rsidR="00B75030" w:rsidRDefault="00B75030" w:rsidP="00B75030"/>
        </w:tc>
        <w:tc>
          <w:tcPr>
            <w:tcW w:w="488" w:type="dxa"/>
          </w:tcPr>
          <w:p w14:paraId="2980A816" w14:textId="77777777" w:rsidR="00B75030" w:rsidRDefault="00B75030" w:rsidP="00B75030">
            <w:pPr>
              <w:jc w:val="center"/>
            </w:pPr>
          </w:p>
        </w:tc>
        <w:tc>
          <w:tcPr>
            <w:tcW w:w="592" w:type="dxa"/>
          </w:tcPr>
          <w:p w14:paraId="47BD2CB5" w14:textId="77777777" w:rsidR="00B75030" w:rsidRDefault="00B75030" w:rsidP="00B75030">
            <w:pPr>
              <w:jc w:val="center"/>
            </w:pPr>
          </w:p>
        </w:tc>
        <w:tc>
          <w:tcPr>
            <w:tcW w:w="6308" w:type="dxa"/>
          </w:tcPr>
          <w:p w14:paraId="3F68F7FE" w14:textId="77777777" w:rsidR="00B75030" w:rsidRDefault="00B75030" w:rsidP="00B75030"/>
        </w:tc>
      </w:tr>
      <w:tr w:rsidR="00B75030" w14:paraId="0E9BEA2D" w14:textId="77777777" w:rsidTr="002E43D9">
        <w:trPr>
          <w:trHeight w:val="289"/>
        </w:trPr>
        <w:tc>
          <w:tcPr>
            <w:tcW w:w="2880" w:type="dxa"/>
          </w:tcPr>
          <w:p w14:paraId="422FAE5D" w14:textId="77777777" w:rsidR="00B75030" w:rsidRDefault="00B75030" w:rsidP="00B75030">
            <w:pPr>
              <w:rPr>
                <w:b/>
              </w:rPr>
            </w:pPr>
          </w:p>
        </w:tc>
        <w:tc>
          <w:tcPr>
            <w:tcW w:w="535" w:type="dxa"/>
          </w:tcPr>
          <w:p w14:paraId="3A40F9B5" w14:textId="77777777" w:rsidR="00B75030" w:rsidRDefault="00B75030" w:rsidP="00B75030"/>
        </w:tc>
        <w:tc>
          <w:tcPr>
            <w:tcW w:w="488" w:type="dxa"/>
          </w:tcPr>
          <w:p w14:paraId="69B85903" w14:textId="77777777" w:rsidR="00B75030" w:rsidRDefault="00B75030" w:rsidP="00B75030">
            <w:pPr>
              <w:jc w:val="center"/>
            </w:pPr>
          </w:p>
        </w:tc>
        <w:tc>
          <w:tcPr>
            <w:tcW w:w="592" w:type="dxa"/>
          </w:tcPr>
          <w:p w14:paraId="603BB423" w14:textId="471B5470" w:rsidR="00B75030" w:rsidRDefault="00B75030" w:rsidP="00B75030">
            <w:pPr>
              <w:jc w:val="center"/>
            </w:pPr>
            <w:r w:rsidRPr="00BA3DA4">
              <w:t>I</w:t>
            </w:r>
          </w:p>
        </w:tc>
        <w:tc>
          <w:tcPr>
            <w:tcW w:w="6308" w:type="dxa"/>
          </w:tcPr>
          <w:p w14:paraId="6D7A79B4" w14:textId="7E832FAA" w:rsidR="00B75030" w:rsidRDefault="00B75030" w:rsidP="00B75030">
            <w:r w:rsidRPr="00BA3DA4">
              <w:t xml:space="preserve">a written submission is made to the Authority describing the nature, purpose, and structure of the token, including whether it constitutes </w:t>
            </w:r>
            <w:proofErr w:type="gramStart"/>
            <w:r w:rsidRPr="00BA3DA4">
              <w:t>a security</w:t>
            </w:r>
            <w:proofErr w:type="gramEnd"/>
            <w:r w:rsidRPr="00BA3DA4">
              <w:t xml:space="preserve"> or not;</w:t>
            </w:r>
          </w:p>
        </w:tc>
      </w:tr>
      <w:tr w:rsidR="00B75030" w14:paraId="6D8005BF" w14:textId="77777777" w:rsidTr="002E43D9">
        <w:trPr>
          <w:trHeight w:val="289"/>
        </w:trPr>
        <w:tc>
          <w:tcPr>
            <w:tcW w:w="2880" w:type="dxa"/>
          </w:tcPr>
          <w:p w14:paraId="3EAFA0CD" w14:textId="77777777" w:rsidR="00B75030" w:rsidRDefault="00B75030" w:rsidP="00B75030">
            <w:pPr>
              <w:rPr>
                <w:b/>
              </w:rPr>
            </w:pPr>
          </w:p>
        </w:tc>
        <w:tc>
          <w:tcPr>
            <w:tcW w:w="535" w:type="dxa"/>
          </w:tcPr>
          <w:p w14:paraId="72B8AC64" w14:textId="77777777" w:rsidR="00B75030" w:rsidRDefault="00B75030" w:rsidP="00B75030"/>
        </w:tc>
        <w:tc>
          <w:tcPr>
            <w:tcW w:w="488" w:type="dxa"/>
          </w:tcPr>
          <w:p w14:paraId="31BA62F4" w14:textId="77777777" w:rsidR="00B75030" w:rsidRDefault="00B75030" w:rsidP="00B75030">
            <w:pPr>
              <w:jc w:val="center"/>
            </w:pPr>
          </w:p>
        </w:tc>
        <w:tc>
          <w:tcPr>
            <w:tcW w:w="592" w:type="dxa"/>
          </w:tcPr>
          <w:p w14:paraId="5672F066" w14:textId="09C88AF1" w:rsidR="00B75030" w:rsidRDefault="00B75030" w:rsidP="00B75030">
            <w:pPr>
              <w:jc w:val="center"/>
            </w:pPr>
            <w:r w:rsidRPr="00BA3DA4">
              <w:t>II</w:t>
            </w:r>
          </w:p>
        </w:tc>
        <w:tc>
          <w:tcPr>
            <w:tcW w:w="6308" w:type="dxa"/>
          </w:tcPr>
          <w:p w14:paraId="127D5705" w14:textId="6D86EE87" w:rsidR="00B75030" w:rsidRDefault="00B75030" w:rsidP="00B75030">
            <w:r w:rsidRPr="00BA3DA4">
              <w:t>adequate disclosures are made to the public, including a white paper or equivalent statement containing information on the token’s features, governance, risks, and redemption or backing arrangements;</w:t>
            </w:r>
          </w:p>
        </w:tc>
      </w:tr>
      <w:tr w:rsidR="00B75030" w14:paraId="1F193A1B" w14:textId="77777777" w:rsidTr="002E43D9">
        <w:trPr>
          <w:trHeight w:val="289"/>
        </w:trPr>
        <w:tc>
          <w:tcPr>
            <w:tcW w:w="2880" w:type="dxa"/>
          </w:tcPr>
          <w:p w14:paraId="3210AA94" w14:textId="77777777" w:rsidR="00B75030" w:rsidRDefault="00B75030" w:rsidP="00B75030">
            <w:pPr>
              <w:rPr>
                <w:b/>
              </w:rPr>
            </w:pPr>
          </w:p>
        </w:tc>
        <w:tc>
          <w:tcPr>
            <w:tcW w:w="535" w:type="dxa"/>
          </w:tcPr>
          <w:p w14:paraId="446CB4D9" w14:textId="77777777" w:rsidR="00B75030" w:rsidRDefault="00B75030" w:rsidP="00B75030"/>
        </w:tc>
        <w:tc>
          <w:tcPr>
            <w:tcW w:w="488" w:type="dxa"/>
          </w:tcPr>
          <w:p w14:paraId="1962D4CE" w14:textId="77777777" w:rsidR="00B75030" w:rsidRDefault="00B75030" w:rsidP="00B75030">
            <w:pPr>
              <w:jc w:val="center"/>
            </w:pPr>
          </w:p>
        </w:tc>
        <w:tc>
          <w:tcPr>
            <w:tcW w:w="592" w:type="dxa"/>
          </w:tcPr>
          <w:p w14:paraId="7F8AB2DB" w14:textId="6C79ACF9" w:rsidR="00B75030" w:rsidRDefault="00B75030" w:rsidP="00B75030">
            <w:pPr>
              <w:jc w:val="center"/>
            </w:pPr>
            <w:r w:rsidRPr="00BA3DA4">
              <w:t>III</w:t>
            </w:r>
          </w:p>
        </w:tc>
        <w:tc>
          <w:tcPr>
            <w:tcW w:w="6308" w:type="dxa"/>
          </w:tcPr>
          <w:p w14:paraId="06FC7B77" w14:textId="12EDB715" w:rsidR="00B75030" w:rsidRDefault="00B75030" w:rsidP="00B75030">
            <w:r w:rsidRPr="00BA3DA4">
              <w:t>independent audits or technical reviews of the token’s smart contract and underlying technology are completed prior to issuance; and</w:t>
            </w:r>
          </w:p>
        </w:tc>
      </w:tr>
      <w:tr w:rsidR="00B75030" w14:paraId="6E188A5C" w14:textId="77777777" w:rsidTr="002E43D9">
        <w:trPr>
          <w:trHeight w:val="289"/>
        </w:trPr>
        <w:tc>
          <w:tcPr>
            <w:tcW w:w="2880" w:type="dxa"/>
          </w:tcPr>
          <w:p w14:paraId="5F1EA932" w14:textId="77777777" w:rsidR="00B75030" w:rsidRDefault="00B75030" w:rsidP="00B75030">
            <w:pPr>
              <w:rPr>
                <w:b/>
              </w:rPr>
            </w:pPr>
          </w:p>
        </w:tc>
        <w:tc>
          <w:tcPr>
            <w:tcW w:w="535" w:type="dxa"/>
          </w:tcPr>
          <w:p w14:paraId="364DCB64" w14:textId="77777777" w:rsidR="00B75030" w:rsidRDefault="00B75030" w:rsidP="00B75030"/>
        </w:tc>
        <w:tc>
          <w:tcPr>
            <w:tcW w:w="488" w:type="dxa"/>
          </w:tcPr>
          <w:p w14:paraId="61808834" w14:textId="44956663" w:rsidR="00B75030" w:rsidRDefault="00B75030" w:rsidP="00B75030">
            <w:pPr>
              <w:jc w:val="center"/>
            </w:pPr>
            <w:r w:rsidRPr="00BA3DA4">
              <w:t>(b)</w:t>
            </w:r>
          </w:p>
        </w:tc>
        <w:tc>
          <w:tcPr>
            <w:tcW w:w="592" w:type="dxa"/>
          </w:tcPr>
          <w:p w14:paraId="1AF61AAB" w14:textId="77777777" w:rsidR="00B75030" w:rsidRDefault="00B75030" w:rsidP="00B75030">
            <w:pPr>
              <w:jc w:val="center"/>
            </w:pPr>
          </w:p>
        </w:tc>
        <w:tc>
          <w:tcPr>
            <w:tcW w:w="6308" w:type="dxa"/>
          </w:tcPr>
          <w:p w14:paraId="6E69DB8C" w14:textId="3285C1ED" w:rsidR="00B75030" w:rsidRDefault="00B75030" w:rsidP="00B75030">
            <w:r w:rsidRPr="00BA3DA4">
              <w:t xml:space="preserve">The Authority may prescribe additional conditions or refuse approval for a token issuance where it considers such </w:t>
            </w:r>
            <w:r w:rsidRPr="00BA3DA4">
              <w:lastRenderedPageBreak/>
              <w:t xml:space="preserve">issuance to present risks to market integrity, financial stability, or investor protection.  </w:t>
            </w:r>
          </w:p>
        </w:tc>
      </w:tr>
      <w:tr w:rsidR="000E4CE5" w14:paraId="7F557AB2" w14:textId="77777777" w:rsidTr="002E43D9">
        <w:trPr>
          <w:trHeight w:val="289"/>
        </w:trPr>
        <w:tc>
          <w:tcPr>
            <w:tcW w:w="2880" w:type="dxa"/>
          </w:tcPr>
          <w:p w14:paraId="7864B5E5" w14:textId="77777777" w:rsidR="000E4CE5" w:rsidRDefault="000E4CE5" w:rsidP="0075552D">
            <w:pPr>
              <w:rPr>
                <w:b/>
              </w:rPr>
            </w:pPr>
          </w:p>
        </w:tc>
        <w:tc>
          <w:tcPr>
            <w:tcW w:w="535" w:type="dxa"/>
          </w:tcPr>
          <w:p w14:paraId="4AA30F06" w14:textId="77777777" w:rsidR="000E4CE5" w:rsidRDefault="000E4CE5" w:rsidP="0075552D"/>
        </w:tc>
        <w:tc>
          <w:tcPr>
            <w:tcW w:w="488" w:type="dxa"/>
          </w:tcPr>
          <w:p w14:paraId="6C842455" w14:textId="1465C760" w:rsidR="000E4CE5" w:rsidRDefault="009449D8" w:rsidP="0075552D">
            <w:pPr>
              <w:jc w:val="center"/>
            </w:pPr>
            <w:r>
              <w:t>(c)</w:t>
            </w:r>
          </w:p>
        </w:tc>
        <w:tc>
          <w:tcPr>
            <w:tcW w:w="592" w:type="dxa"/>
          </w:tcPr>
          <w:p w14:paraId="2472B1D7" w14:textId="77777777" w:rsidR="000E4CE5" w:rsidRDefault="000E4CE5" w:rsidP="0075552D">
            <w:pPr>
              <w:jc w:val="center"/>
            </w:pPr>
          </w:p>
        </w:tc>
        <w:tc>
          <w:tcPr>
            <w:tcW w:w="6308" w:type="dxa"/>
          </w:tcPr>
          <w:p w14:paraId="5F1D3A61" w14:textId="77D051CA" w:rsidR="000E4CE5" w:rsidRPr="009449D8" w:rsidRDefault="009449D8" w:rsidP="009449D8">
            <w:pPr>
              <w:rPr>
                <w:color w:val="EE0000"/>
              </w:rPr>
            </w:pPr>
            <w:r w:rsidRPr="00054EC7">
              <w:t>Any token issued or distributed in contravention of this clause shall be deemed unauthorized, and the Authority may direct its suspension, delisting, or recall as deemed necessary.</w:t>
            </w:r>
            <w:r>
              <w:t xml:space="preserve"> </w:t>
            </w:r>
          </w:p>
        </w:tc>
      </w:tr>
      <w:tr w:rsidR="009449D8" w14:paraId="1C35698B" w14:textId="77777777" w:rsidTr="002E43D9">
        <w:trPr>
          <w:trHeight w:val="289"/>
        </w:trPr>
        <w:tc>
          <w:tcPr>
            <w:tcW w:w="2880" w:type="dxa"/>
          </w:tcPr>
          <w:p w14:paraId="510E4282" w14:textId="77777777" w:rsidR="009449D8" w:rsidRDefault="009449D8" w:rsidP="0075552D">
            <w:pPr>
              <w:rPr>
                <w:b/>
              </w:rPr>
            </w:pPr>
          </w:p>
        </w:tc>
        <w:tc>
          <w:tcPr>
            <w:tcW w:w="535" w:type="dxa"/>
          </w:tcPr>
          <w:p w14:paraId="2B1A5117" w14:textId="77777777" w:rsidR="009449D8" w:rsidRDefault="009449D8" w:rsidP="0075552D"/>
        </w:tc>
        <w:tc>
          <w:tcPr>
            <w:tcW w:w="488" w:type="dxa"/>
          </w:tcPr>
          <w:p w14:paraId="2BA5AD5B" w14:textId="77777777" w:rsidR="009449D8" w:rsidRDefault="009449D8" w:rsidP="0075552D">
            <w:pPr>
              <w:jc w:val="center"/>
            </w:pPr>
          </w:p>
        </w:tc>
        <w:tc>
          <w:tcPr>
            <w:tcW w:w="592" w:type="dxa"/>
          </w:tcPr>
          <w:p w14:paraId="0DF85946" w14:textId="77777777" w:rsidR="009449D8" w:rsidRDefault="009449D8" w:rsidP="0075552D">
            <w:pPr>
              <w:jc w:val="center"/>
            </w:pPr>
          </w:p>
        </w:tc>
        <w:tc>
          <w:tcPr>
            <w:tcW w:w="6308" w:type="dxa"/>
          </w:tcPr>
          <w:p w14:paraId="0B858469" w14:textId="77777777" w:rsidR="009449D8" w:rsidRDefault="009449D8" w:rsidP="0075552D"/>
        </w:tc>
      </w:tr>
      <w:tr w:rsidR="001720E4" w14:paraId="1B4E5B12" w14:textId="77777777" w:rsidTr="002E43D9">
        <w:trPr>
          <w:trHeight w:val="289"/>
        </w:trPr>
        <w:tc>
          <w:tcPr>
            <w:tcW w:w="2880" w:type="dxa"/>
          </w:tcPr>
          <w:p w14:paraId="3BA810FD" w14:textId="787DAAA8" w:rsidR="001720E4" w:rsidRDefault="001720E4" w:rsidP="001720E4">
            <w:pPr>
              <w:rPr>
                <w:b/>
              </w:rPr>
            </w:pPr>
            <w:r w:rsidRPr="005E6291">
              <w:t>Disclosure and Whitepaper Requirements</w:t>
            </w:r>
          </w:p>
        </w:tc>
        <w:tc>
          <w:tcPr>
            <w:tcW w:w="535" w:type="dxa"/>
          </w:tcPr>
          <w:p w14:paraId="39A09240" w14:textId="3FBC2BC6" w:rsidR="001720E4" w:rsidRDefault="002F5740" w:rsidP="001720E4">
            <w:r>
              <w:t>20</w:t>
            </w:r>
            <w:r w:rsidR="001720E4" w:rsidRPr="005E6291">
              <w:t>.</w:t>
            </w:r>
          </w:p>
        </w:tc>
        <w:tc>
          <w:tcPr>
            <w:tcW w:w="488" w:type="dxa"/>
          </w:tcPr>
          <w:p w14:paraId="60178102" w14:textId="5B0234C8" w:rsidR="001720E4" w:rsidRDefault="001720E4" w:rsidP="001720E4">
            <w:pPr>
              <w:jc w:val="center"/>
            </w:pPr>
            <w:r w:rsidRPr="005E6291">
              <w:t>(a)</w:t>
            </w:r>
          </w:p>
        </w:tc>
        <w:tc>
          <w:tcPr>
            <w:tcW w:w="592" w:type="dxa"/>
          </w:tcPr>
          <w:p w14:paraId="00BD08D1" w14:textId="77777777" w:rsidR="001720E4" w:rsidRDefault="001720E4" w:rsidP="001720E4">
            <w:pPr>
              <w:jc w:val="center"/>
            </w:pPr>
          </w:p>
        </w:tc>
        <w:tc>
          <w:tcPr>
            <w:tcW w:w="6308" w:type="dxa"/>
          </w:tcPr>
          <w:p w14:paraId="6F07DA4B" w14:textId="7EAFB106" w:rsidR="001720E4" w:rsidRDefault="001720E4" w:rsidP="001720E4">
            <w:r w:rsidRPr="005E6291">
              <w:t xml:space="preserve">A person intending to issue or offer a Securities Virtual Asset to the public shall, prior to such offer, submit to the Authority a whitepaper or disclosure document for approval. </w:t>
            </w:r>
          </w:p>
        </w:tc>
      </w:tr>
      <w:tr w:rsidR="001720E4" w14:paraId="7C87E7E1" w14:textId="77777777" w:rsidTr="002E43D9">
        <w:trPr>
          <w:trHeight w:val="289"/>
        </w:trPr>
        <w:tc>
          <w:tcPr>
            <w:tcW w:w="2880" w:type="dxa"/>
          </w:tcPr>
          <w:p w14:paraId="2BBB0770" w14:textId="77777777" w:rsidR="001720E4" w:rsidRDefault="001720E4" w:rsidP="001720E4">
            <w:pPr>
              <w:rPr>
                <w:b/>
              </w:rPr>
            </w:pPr>
          </w:p>
        </w:tc>
        <w:tc>
          <w:tcPr>
            <w:tcW w:w="535" w:type="dxa"/>
          </w:tcPr>
          <w:p w14:paraId="4119291B" w14:textId="77777777" w:rsidR="001720E4" w:rsidRDefault="001720E4" w:rsidP="001720E4"/>
        </w:tc>
        <w:tc>
          <w:tcPr>
            <w:tcW w:w="488" w:type="dxa"/>
          </w:tcPr>
          <w:p w14:paraId="7D4ACD57" w14:textId="35272140" w:rsidR="001720E4" w:rsidRDefault="001720E4" w:rsidP="001720E4">
            <w:pPr>
              <w:jc w:val="center"/>
            </w:pPr>
            <w:r w:rsidRPr="005E6291">
              <w:t>(b)</w:t>
            </w:r>
          </w:p>
        </w:tc>
        <w:tc>
          <w:tcPr>
            <w:tcW w:w="592" w:type="dxa"/>
          </w:tcPr>
          <w:p w14:paraId="39B48F52" w14:textId="77777777" w:rsidR="001720E4" w:rsidRDefault="001720E4" w:rsidP="001720E4">
            <w:pPr>
              <w:jc w:val="center"/>
            </w:pPr>
          </w:p>
        </w:tc>
        <w:tc>
          <w:tcPr>
            <w:tcW w:w="6308" w:type="dxa"/>
          </w:tcPr>
          <w:p w14:paraId="5EEB1B6C" w14:textId="393367A5" w:rsidR="001720E4" w:rsidRDefault="001720E4" w:rsidP="001720E4">
            <w:r w:rsidRPr="005E6291">
              <w:t xml:space="preserve">The </w:t>
            </w:r>
            <w:proofErr w:type="gramStart"/>
            <w:r w:rsidRPr="005E6291">
              <w:t>whitepaper</w:t>
            </w:r>
            <w:proofErr w:type="gramEnd"/>
            <w:r w:rsidRPr="005E6291">
              <w:t xml:space="preserve"> shall contain—</w:t>
            </w:r>
          </w:p>
        </w:tc>
      </w:tr>
      <w:tr w:rsidR="001720E4" w14:paraId="4E14AA6E" w14:textId="77777777" w:rsidTr="002E43D9">
        <w:trPr>
          <w:trHeight w:val="289"/>
        </w:trPr>
        <w:tc>
          <w:tcPr>
            <w:tcW w:w="2880" w:type="dxa"/>
          </w:tcPr>
          <w:p w14:paraId="2A6C35BA" w14:textId="77777777" w:rsidR="001720E4" w:rsidRDefault="001720E4" w:rsidP="001720E4">
            <w:pPr>
              <w:rPr>
                <w:b/>
              </w:rPr>
            </w:pPr>
          </w:p>
        </w:tc>
        <w:tc>
          <w:tcPr>
            <w:tcW w:w="535" w:type="dxa"/>
          </w:tcPr>
          <w:p w14:paraId="1455D985" w14:textId="77777777" w:rsidR="001720E4" w:rsidRDefault="001720E4" w:rsidP="001720E4"/>
        </w:tc>
        <w:tc>
          <w:tcPr>
            <w:tcW w:w="488" w:type="dxa"/>
          </w:tcPr>
          <w:p w14:paraId="3C867897" w14:textId="77777777" w:rsidR="001720E4" w:rsidRDefault="001720E4" w:rsidP="001720E4">
            <w:pPr>
              <w:jc w:val="center"/>
            </w:pPr>
          </w:p>
        </w:tc>
        <w:tc>
          <w:tcPr>
            <w:tcW w:w="592" w:type="dxa"/>
          </w:tcPr>
          <w:p w14:paraId="0DCD1851" w14:textId="041C0527" w:rsidR="001720E4" w:rsidRDefault="001720E4" w:rsidP="001720E4">
            <w:pPr>
              <w:jc w:val="center"/>
            </w:pPr>
            <w:r w:rsidRPr="005E6291">
              <w:t>I</w:t>
            </w:r>
          </w:p>
        </w:tc>
        <w:tc>
          <w:tcPr>
            <w:tcW w:w="6308" w:type="dxa"/>
          </w:tcPr>
          <w:p w14:paraId="102A9EA4" w14:textId="41FE6556" w:rsidR="001720E4" w:rsidRDefault="001720E4" w:rsidP="001720E4">
            <w:r w:rsidRPr="005E6291">
              <w:t>The issuer’s identity, corporate information, and governance structure;</w:t>
            </w:r>
          </w:p>
        </w:tc>
      </w:tr>
      <w:tr w:rsidR="001720E4" w14:paraId="6B0D947C" w14:textId="77777777" w:rsidTr="002E43D9">
        <w:trPr>
          <w:trHeight w:val="289"/>
        </w:trPr>
        <w:tc>
          <w:tcPr>
            <w:tcW w:w="2880" w:type="dxa"/>
          </w:tcPr>
          <w:p w14:paraId="69AD645D" w14:textId="77777777" w:rsidR="001720E4" w:rsidRDefault="001720E4" w:rsidP="001720E4">
            <w:pPr>
              <w:rPr>
                <w:b/>
              </w:rPr>
            </w:pPr>
          </w:p>
        </w:tc>
        <w:tc>
          <w:tcPr>
            <w:tcW w:w="535" w:type="dxa"/>
          </w:tcPr>
          <w:p w14:paraId="3BF03944" w14:textId="77777777" w:rsidR="001720E4" w:rsidRDefault="001720E4" w:rsidP="001720E4"/>
        </w:tc>
        <w:tc>
          <w:tcPr>
            <w:tcW w:w="488" w:type="dxa"/>
          </w:tcPr>
          <w:p w14:paraId="09D1A911" w14:textId="77777777" w:rsidR="001720E4" w:rsidRDefault="001720E4" w:rsidP="001720E4">
            <w:pPr>
              <w:jc w:val="center"/>
            </w:pPr>
          </w:p>
        </w:tc>
        <w:tc>
          <w:tcPr>
            <w:tcW w:w="592" w:type="dxa"/>
          </w:tcPr>
          <w:p w14:paraId="4B4FAFF7" w14:textId="5782689C" w:rsidR="001720E4" w:rsidRDefault="001720E4" w:rsidP="001720E4">
            <w:pPr>
              <w:jc w:val="center"/>
            </w:pPr>
            <w:r w:rsidRPr="005E6291">
              <w:t>II</w:t>
            </w:r>
          </w:p>
        </w:tc>
        <w:tc>
          <w:tcPr>
            <w:tcW w:w="6308" w:type="dxa"/>
          </w:tcPr>
          <w:p w14:paraId="4B1E78D0" w14:textId="40F416BE" w:rsidR="001720E4" w:rsidRDefault="001720E4" w:rsidP="001720E4">
            <w:r w:rsidRPr="005E6291">
              <w:t>A detailed description of the virtual asset, its rights, utility, or underlying value;</w:t>
            </w:r>
          </w:p>
        </w:tc>
      </w:tr>
      <w:tr w:rsidR="001720E4" w14:paraId="158DC048" w14:textId="77777777" w:rsidTr="002E43D9">
        <w:trPr>
          <w:trHeight w:val="289"/>
        </w:trPr>
        <w:tc>
          <w:tcPr>
            <w:tcW w:w="2880" w:type="dxa"/>
          </w:tcPr>
          <w:p w14:paraId="45FD0DF9" w14:textId="77777777" w:rsidR="001720E4" w:rsidRDefault="001720E4" w:rsidP="001720E4">
            <w:pPr>
              <w:rPr>
                <w:b/>
              </w:rPr>
            </w:pPr>
          </w:p>
        </w:tc>
        <w:tc>
          <w:tcPr>
            <w:tcW w:w="535" w:type="dxa"/>
          </w:tcPr>
          <w:p w14:paraId="180DD669" w14:textId="77777777" w:rsidR="001720E4" w:rsidRDefault="001720E4" w:rsidP="001720E4"/>
        </w:tc>
        <w:tc>
          <w:tcPr>
            <w:tcW w:w="488" w:type="dxa"/>
          </w:tcPr>
          <w:p w14:paraId="65E74286" w14:textId="77777777" w:rsidR="001720E4" w:rsidRDefault="001720E4" w:rsidP="001720E4">
            <w:pPr>
              <w:jc w:val="center"/>
            </w:pPr>
          </w:p>
        </w:tc>
        <w:tc>
          <w:tcPr>
            <w:tcW w:w="592" w:type="dxa"/>
          </w:tcPr>
          <w:p w14:paraId="73EFFA59" w14:textId="6F194A57" w:rsidR="001720E4" w:rsidRDefault="001720E4" w:rsidP="001720E4">
            <w:pPr>
              <w:jc w:val="center"/>
            </w:pPr>
            <w:r w:rsidRPr="005E6291">
              <w:t>III</w:t>
            </w:r>
          </w:p>
        </w:tc>
        <w:tc>
          <w:tcPr>
            <w:tcW w:w="6308" w:type="dxa"/>
          </w:tcPr>
          <w:p w14:paraId="58642935" w14:textId="3845EB36" w:rsidR="001720E4" w:rsidRDefault="001720E4" w:rsidP="001720E4">
            <w:r w:rsidRPr="005E6291">
              <w:t>The total supply, distribution plan, and use of proceeds;</w:t>
            </w:r>
          </w:p>
        </w:tc>
      </w:tr>
      <w:tr w:rsidR="001720E4" w14:paraId="739C317D" w14:textId="77777777" w:rsidTr="002E43D9">
        <w:trPr>
          <w:trHeight w:val="289"/>
        </w:trPr>
        <w:tc>
          <w:tcPr>
            <w:tcW w:w="2880" w:type="dxa"/>
          </w:tcPr>
          <w:p w14:paraId="468A1301" w14:textId="77777777" w:rsidR="001720E4" w:rsidRDefault="001720E4" w:rsidP="001720E4">
            <w:pPr>
              <w:rPr>
                <w:b/>
              </w:rPr>
            </w:pPr>
          </w:p>
        </w:tc>
        <w:tc>
          <w:tcPr>
            <w:tcW w:w="535" w:type="dxa"/>
          </w:tcPr>
          <w:p w14:paraId="3A07F105" w14:textId="77777777" w:rsidR="001720E4" w:rsidRDefault="001720E4" w:rsidP="001720E4"/>
        </w:tc>
        <w:tc>
          <w:tcPr>
            <w:tcW w:w="488" w:type="dxa"/>
          </w:tcPr>
          <w:p w14:paraId="5DB6169F" w14:textId="77777777" w:rsidR="001720E4" w:rsidRDefault="001720E4" w:rsidP="001720E4">
            <w:pPr>
              <w:jc w:val="center"/>
            </w:pPr>
          </w:p>
        </w:tc>
        <w:tc>
          <w:tcPr>
            <w:tcW w:w="592" w:type="dxa"/>
          </w:tcPr>
          <w:p w14:paraId="2D8EA861" w14:textId="6D5D36FA" w:rsidR="001720E4" w:rsidRDefault="001720E4" w:rsidP="001720E4">
            <w:pPr>
              <w:jc w:val="center"/>
            </w:pPr>
            <w:r w:rsidRPr="005E6291">
              <w:t>IV</w:t>
            </w:r>
          </w:p>
        </w:tc>
        <w:tc>
          <w:tcPr>
            <w:tcW w:w="6308" w:type="dxa"/>
          </w:tcPr>
          <w:p w14:paraId="54DE6A2D" w14:textId="2C131626" w:rsidR="001720E4" w:rsidRDefault="001720E4" w:rsidP="001720E4">
            <w:r w:rsidRPr="005E6291">
              <w:t>Risk factors including technology, legal, and market risks; and</w:t>
            </w:r>
          </w:p>
        </w:tc>
      </w:tr>
      <w:tr w:rsidR="001720E4" w14:paraId="4C9FC9A6" w14:textId="77777777" w:rsidTr="002E43D9">
        <w:trPr>
          <w:trHeight w:val="289"/>
        </w:trPr>
        <w:tc>
          <w:tcPr>
            <w:tcW w:w="2880" w:type="dxa"/>
          </w:tcPr>
          <w:p w14:paraId="55D1B921" w14:textId="77777777" w:rsidR="001720E4" w:rsidRDefault="001720E4" w:rsidP="001720E4">
            <w:pPr>
              <w:rPr>
                <w:b/>
              </w:rPr>
            </w:pPr>
          </w:p>
        </w:tc>
        <w:tc>
          <w:tcPr>
            <w:tcW w:w="535" w:type="dxa"/>
          </w:tcPr>
          <w:p w14:paraId="69B7FDC1" w14:textId="77777777" w:rsidR="001720E4" w:rsidRDefault="001720E4" w:rsidP="001720E4"/>
        </w:tc>
        <w:tc>
          <w:tcPr>
            <w:tcW w:w="488" w:type="dxa"/>
          </w:tcPr>
          <w:p w14:paraId="528EBBFD" w14:textId="77777777" w:rsidR="001720E4" w:rsidRDefault="001720E4" w:rsidP="001720E4">
            <w:pPr>
              <w:jc w:val="center"/>
            </w:pPr>
          </w:p>
        </w:tc>
        <w:tc>
          <w:tcPr>
            <w:tcW w:w="592" w:type="dxa"/>
          </w:tcPr>
          <w:p w14:paraId="48CEC1CF" w14:textId="7345770F" w:rsidR="001720E4" w:rsidRDefault="001720E4" w:rsidP="001720E4">
            <w:pPr>
              <w:jc w:val="center"/>
            </w:pPr>
            <w:r w:rsidRPr="005E6291">
              <w:t>V</w:t>
            </w:r>
          </w:p>
        </w:tc>
        <w:tc>
          <w:tcPr>
            <w:tcW w:w="6308" w:type="dxa"/>
          </w:tcPr>
          <w:p w14:paraId="3EEE076D" w14:textId="4AF570B0" w:rsidR="001720E4" w:rsidRDefault="001720E4" w:rsidP="001720E4">
            <w:r w:rsidRPr="005E6291">
              <w:t>Investor warnings and disclaimers in a format prescribed by the Authority.</w:t>
            </w:r>
          </w:p>
        </w:tc>
      </w:tr>
      <w:tr w:rsidR="001720E4" w14:paraId="5A72BA51" w14:textId="77777777" w:rsidTr="002E43D9">
        <w:trPr>
          <w:trHeight w:val="289"/>
        </w:trPr>
        <w:tc>
          <w:tcPr>
            <w:tcW w:w="2880" w:type="dxa"/>
          </w:tcPr>
          <w:p w14:paraId="7EA0E2C5" w14:textId="77777777" w:rsidR="001720E4" w:rsidRDefault="001720E4" w:rsidP="001720E4">
            <w:pPr>
              <w:rPr>
                <w:b/>
              </w:rPr>
            </w:pPr>
          </w:p>
        </w:tc>
        <w:tc>
          <w:tcPr>
            <w:tcW w:w="535" w:type="dxa"/>
          </w:tcPr>
          <w:p w14:paraId="7D289B32" w14:textId="77777777" w:rsidR="001720E4" w:rsidRDefault="001720E4" w:rsidP="001720E4"/>
        </w:tc>
        <w:tc>
          <w:tcPr>
            <w:tcW w:w="488" w:type="dxa"/>
          </w:tcPr>
          <w:p w14:paraId="19D6C248" w14:textId="77777777" w:rsidR="001720E4" w:rsidRDefault="001720E4" w:rsidP="001720E4">
            <w:pPr>
              <w:jc w:val="center"/>
            </w:pPr>
          </w:p>
        </w:tc>
        <w:tc>
          <w:tcPr>
            <w:tcW w:w="592" w:type="dxa"/>
          </w:tcPr>
          <w:p w14:paraId="5EE7F409" w14:textId="44F0DBB1" w:rsidR="001720E4" w:rsidRDefault="001720E4" w:rsidP="001720E4">
            <w:pPr>
              <w:jc w:val="center"/>
            </w:pPr>
            <w:r w:rsidRPr="005E6291">
              <w:t>VI</w:t>
            </w:r>
          </w:p>
        </w:tc>
        <w:tc>
          <w:tcPr>
            <w:tcW w:w="6308" w:type="dxa"/>
          </w:tcPr>
          <w:p w14:paraId="0389D9BC" w14:textId="6728E147" w:rsidR="001720E4" w:rsidRDefault="001720E4" w:rsidP="001720E4">
            <w:r w:rsidRPr="005E6291">
              <w:t>Full disclosure of the technological design, governance framework, and rights of token-holders;</w:t>
            </w:r>
          </w:p>
        </w:tc>
      </w:tr>
      <w:tr w:rsidR="001720E4" w14:paraId="45AA5798" w14:textId="77777777" w:rsidTr="002E43D9">
        <w:trPr>
          <w:trHeight w:val="289"/>
        </w:trPr>
        <w:tc>
          <w:tcPr>
            <w:tcW w:w="2880" w:type="dxa"/>
          </w:tcPr>
          <w:p w14:paraId="15B53022" w14:textId="77777777" w:rsidR="001720E4" w:rsidRDefault="001720E4" w:rsidP="001720E4">
            <w:pPr>
              <w:rPr>
                <w:b/>
              </w:rPr>
            </w:pPr>
          </w:p>
        </w:tc>
        <w:tc>
          <w:tcPr>
            <w:tcW w:w="535" w:type="dxa"/>
          </w:tcPr>
          <w:p w14:paraId="630453F4" w14:textId="77777777" w:rsidR="001720E4" w:rsidRDefault="001720E4" w:rsidP="001720E4"/>
        </w:tc>
        <w:tc>
          <w:tcPr>
            <w:tcW w:w="488" w:type="dxa"/>
          </w:tcPr>
          <w:p w14:paraId="38159C0C" w14:textId="77777777" w:rsidR="001720E4" w:rsidRDefault="001720E4" w:rsidP="001720E4">
            <w:pPr>
              <w:jc w:val="center"/>
            </w:pPr>
          </w:p>
        </w:tc>
        <w:tc>
          <w:tcPr>
            <w:tcW w:w="592" w:type="dxa"/>
          </w:tcPr>
          <w:p w14:paraId="30103B1F" w14:textId="265741AD" w:rsidR="001720E4" w:rsidRDefault="001720E4" w:rsidP="001720E4">
            <w:pPr>
              <w:jc w:val="center"/>
            </w:pPr>
            <w:r w:rsidRPr="005E6291">
              <w:t>VII</w:t>
            </w:r>
          </w:p>
        </w:tc>
        <w:tc>
          <w:tcPr>
            <w:tcW w:w="6308" w:type="dxa"/>
          </w:tcPr>
          <w:p w14:paraId="79B8E807" w14:textId="7C7F5E5D" w:rsidR="001720E4" w:rsidRDefault="001720E4" w:rsidP="001720E4">
            <w:r w:rsidRPr="005E6291">
              <w:t xml:space="preserve">Identification of investor classes </w:t>
            </w:r>
            <w:proofErr w:type="gramStart"/>
            <w:r w:rsidRPr="005E6291">
              <w:t>targeted</w:t>
            </w:r>
            <w:proofErr w:type="gramEnd"/>
            <w:r w:rsidRPr="005E6291">
              <w:t xml:space="preserve"> and risk disclosures proportionate to those investors;</w:t>
            </w:r>
          </w:p>
        </w:tc>
      </w:tr>
      <w:tr w:rsidR="001720E4" w14:paraId="69A21F98" w14:textId="77777777" w:rsidTr="002E43D9">
        <w:trPr>
          <w:trHeight w:val="289"/>
        </w:trPr>
        <w:tc>
          <w:tcPr>
            <w:tcW w:w="2880" w:type="dxa"/>
          </w:tcPr>
          <w:p w14:paraId="71B6AD88" w14:textId="77777777" w:rsidR="001720E4" w:rsidRDefault="001720E4" w:rsidP="001720E4">
            <w:pPr>
              <w:rPr>
                <w:b/>
              </w:rPr>
            </w:pPr>
          </w:p>
        </w:tc>
        <w:tc>
          <w:tcPr>
            <w:tcW w:w="535" w:type="dxa"/>
          </w:tcPr>
          <w:p w14:paraId="082C366B" w14:textId="77777777" w:rsidR="001720E4" w:rsidRDefault="001720E4" w:rsidP="001720E4"/>
        </w:tc>
        <w:tc>
          <w:tcPr>
            <w:tcW w:w="488" w:type="dxa"/>
          </w:tcPr>
          <w:p w14:paraId="23304BAA" w14:textId="77777777" w:rsidR="001720E4" w:rsidRDefault="001720E4" w:rsidP="001720E4">
            <w:pPr>
              <w:jc w:val="center"/>
            </w:pPr>
          </w:p>
        </w:tc>
        <w:tc>
          <w:tcPr>
            <w:tcW w:w="592" w:type="dxa"/>
          </w:tcPr>
          <w:p w14:paraId="0ED3735B" w14:textId="3D5411CB" w:rsidR="001720E4" w:rsidRDefault="001720E4" w:rsidP="001720E4">
            <w:pPr>
              <w:jc w:val="center"/>
            </w:pPr>
            <w:r w:rsidRPr="005E6291">
              <w:t>VIII</w:t>
            </w:r>
          </w:p>
        </w:tc>
        <w:tc>
          <w:tcPr>
            <w:tcW w:w="6308" w:type="dxa"/>
          </w:tcPr>
          <w:p w14:paraId="60FD1F2E" w14:textId="5D3B63E6" w:rsidR="001720E4" w:rsidRDefault="001720E4" w:rsidP="001720E4">
            <w:r w:rsidRPr="005E6291">
              <w:t xml:space="preserve">Ongoing obligation to submit periodic reports to the Authority on any listed or traded virtual assets. </w:t>
            </w:r>
          </w:p>
        </w:tc>
      </w:tr>
      <w:tr w:rsidR="001720E4" w14:paraId="28174C63" w14:textId="77777777" w:rsidTr="002E43D9">
        <w:trPr>
          <w:trHeight w:val="289"/>
        </w:trPr>
        <w:tc>
          <w:tcPr>
            <w:tcW w:w="2880" w:type="dxa"/>
          </w:tcPr>
          <w:p w14:paraId="0C0FEF70" w14:textId="77777777" w:rsidR="001720E4" w:rsidRDefault="001720E4" w:rsidP="001720E4">
            <w:pPr>
              <w:rPr>
                <w:b/>
              </w:rPr>
            </w:pPr>
          </w:p>
        </w:tc>
        <w:tc>
          <w:tcPr>
            <w:tcW w:w="535" w:type="dxa"/>
          </w:tcPr>
          <w:p w14:paraId="5A6159CD" w14:textId="77777777" w:rsidR="001720E4" w:rsidRDefault="001720E4" w:rsidP="001720E4"/>
        </w:tc>
        <w:tc>
          <w:tcPr>
            <w:tcW w:w="488" w:type="dxa"/>
          </w:tcPr>
          <w:p w14:paraId="63BEFD90" w14:textId="4A744F83" w:rsidR="001720E4" w:rsidRDefault="001720E4" w:rsidP="001720E4">
            <w:pPr>
              <w:jc w:val="center"/>
            </w:pPr>
            <w:r w:rsidRPr="005E6291">
              <w:t>(c)</w:t>
            </w:r>
          </w:p>
        </w:tc>
        <w:tc>
          <w:tcPr>
            <w:tcW w:w="592" w:type="dxa"/>
          </w:tcPr>
          <w:p w14:paraId="31127353" w14:textId="77777777" w:rsidR="001720E4" w:rsidRDefault="001720E4" w:rsidP="001720E4">
            <w:pPr>
              <w:jc w:val="center"/>
            </w:pPr>
          </w:p>
        </w:tc>
        <w:tc>
          <w:tcPr>
            <w:tcW w:w="6308" w:type="dxa"/>
          </w:tcPr>
          <w:p w14:paraId="2BDF1437" w14:textId="6B1B3013" w:rsidR="001720E4" w:rsidRDefault="001720E4" w:rsidP="001720E4">
            <w:r w:rsidRPr="005E6291">
              <w:t>Any material changes in the information disclosed shall be promptly notified to the Authority and the public.</w:t>
            </w:r>
          </w:p>
        </w:tc>
      </w:tr>
      <w:tr w:rsidR="001720E4" w14:paraId="660C0D1E" w14:textId="77777777" w:rsidTr="002E43D9">
        <w:trPr>
          <w:trHeight w:val="289"/>
        </w:trPr>
        <w:tc>
          <w:tcPr>
            <w:tcW w:w="2880" w:type="dxa"/>
          </w:tcPr>
          <w:p w14:paraId="47C334F9" w14:textId="77777777" w:rsidR="001720E4" w:rsidRDefault="001720E4" w:rsidP="001720E4">
            <w:pPr>
              <w:rPr>
                <w:b/>
              </w:rPr>
            </w:pPr>
          </w:p>
        </w:tc>
        <w:tc>
          <w:tcPr>
            <w:tcW w:w="535" w:type="dxa"/>
          </w:tcPr>
          <w:p w14:paraId="26D41617" w14:textId="77777777" w:rsidR="001720E4" w:rsidRDefault="001720E4" w:rsidP="001720E4"/>
        </w:tc>
        <w:tc>
          <w:tcPr>
            <w:tcW w:w="488" w:type="dxa"/>
          </w:tcPr>
          <w:p w14:paraId="31603DD5" w14:textId="0D1040CB" w:rsidR="001720E4" w:rsidRDefault="001720E4" w:rsidP="001720E4">
            <w:pPr>
              <w:jc w:val="center"/>
            </w:pPr>
            <w:r w:rsidRPr="005E6291">
              <w:t>(d)</w:t>
            </w:r>
          </w:p>
        </w:tc>
        <w:tc>
          <w:tcPr>
            <w:tcW w:w="592" w:type="dxa"/>
          </w:tcPr>
          <w:p w14:paraId="5430E72C" w14:textId="77777777" w:rsidR="001720E4" w:rsidRDefault="001720E4" w:rsidP="001720E4">
            <w:pPr>
              <w:jc w:val="center"/>
            </w:pPr>
          </w:p>
        </w:tc>
        <w:tc>
          <w:tcPr>
            <w:tcW w:w="6308" w:type="dxa"/>
          </w:tcPr>
          <w:p w14:paraId="7321782B" w14:textId="439250D6" w:rsidR="001720E4" w:rsidRDefault="001720E4" w:rsidP="001720E4">
            <w:r w:rsidRPr="005E6291">
              <w:t xml:space="preserve">The Authority may reject or suspend an </w:t>
            </w:r>
            <w:proofErr w:type="gramStart"/>
            <w:r w:rsidRPr="005E6291">
              <w:t>offering</w:t>
            </w:r>
            <w:proofErr w:type="gramEnd"/>
            <w:r w:rsidRPr="005E6291">
              <w:t xml:space="preserve"> where the whitepaper is false, misleading, or incomplete.</w:t>
            </w:r>
          </w:p>
        </w:tc>
      </w:tr>
      <w:tr w:rsidR="001720E4" w14:paraId="3B3A8268" w14:textId="77777777" w:rsidTr="002E43D9">
        <w:trPr>
          <w:trHeight w:val="289"/>
        </w:trPr>
        <w:tc>
          <w:tcPr>
            <w:tcW w:w="2880" w:type="dxa"/>
          </w:tcPr>
          <w:p w14:paraId="2307CB0E" w14:textId="77777777" w:rsidR="001720E4" w:rsidRDefault="001720E4" w:rsidP="001720E4">
            <w:pPr>
              <w:rPr>
                <w:b/>
              </w:rPr>
            </w:pPr>
          </w:p>
        </w:tc>
        <w:tc>
          <w:tcPr>
            <w:tcW w:w="535" w:type="dxa"/>
          </w:tcPr>
          <w:p w14:paraId="7D05A63C" w14:textId="77777777" w:rsidR="001720E4" w:rsidRDefault="001720E4" w:rsidP="001720E4"/>
        </w:tc>
        <w:tc>
          <w:tcPr>
            <w:tcW w:w="488" w:type="dxa"/>
          </w:tcPr>
          <w:p w14:paraId="5CC736F1" w14:textId="5F33F835" w:rsidR="001720E4" w:rsidRDefault="001720E4" w:rsidP="001720E4">
            <w:pPr>
              <w:jc w:val="center"/>
            </w:pPr>
            <w:r w:rsidRPr="005E6291">
              <w:t>(e)</w:t>
            </w:r>
          </w:p>
        </w:tc>
        <w:tc>
          <w:tcPr>
            <w:tcW w:w="592" w:type="dxa"/>
          </w:tcPr>
          <w:p w14:paraId="6193B229" w14:textId="77777777" w:rsidR="001720E4" w:rsidRDefault="001720E4" w:rsidP="001720E4">
            <w:pPr>
              <w:jc w:val="center"/>
            </w:pPr>
          </w:p>
        </w:tc>
        <w:tc>
          <w:tcPr>
            <w:tcW w:w="6308" w:type="dxa"/>
          </w:tcPr>
          <w:p w14:paraId="7A26BD56" w14:textId="67C5FA9E" w:rsidR="001720E4" w:rsidRDefault="001720E4" w:rsidP="001720E4">
            <w:r w:rsidRPr="005E6291">
              <w:t>No person shall promote or advertise a Securities Virtual Assets offering unless the whitepaper has been approved and published in the manner prescribed by the Authority.</w:t>
            </w:r>
          </w:p>
        </w:tc>
      </w:tr>
      <w:tr w:rsidR="0075552D" w14:paraId="48376D42" w14:textId="77777777" w:rsidTr="002E43D9">
        <w:trPr>
          <w:trHeight w:val="289"/>
        </w:trPr>
        <w:tc>
          <w:tcPr>
            <w:tcW w:w="10803" w:type="dxa"/>
            <w:gridSpan w:val="5"/>
          </w:tcPr>
          <w:p w14:paraId="1830502F" w14:textId="77777777" w:rsidR="0075552D" w:rsidRDefault="0075552D" w:rsidP="0075552D">
            <w:pPr>
              <w:widowControl w:val="0"/>
              <w:pBdr>
                <w:top w:val="nil"/>
                <w:left w:val="nil"/>
                <w:bottom w:val="nil"/>
                <w:right w:val="nil"/>
                <w:between w:val="nil"/>
              </w:pBdr>
              <w:spacing w:line="276" w:lineRule="auto"/>
            </w:pPr>
          </w:p>
          <w:p w14:paraId="74903751" w14:textId="6BEF16C0" w:rsidR="006D3C7B" w:rsidRDefault="006D3C7B" w:rsidP="006D3C7B">
            <w:pPr>
              <w:widowControl w:val="0"/>
              <w:pBdr>
                <w:top w:val="nil"/>
                <w:left w:val="nil"/>
                <w:bottom w:val="nil"/>
                <w:right w:val="nil"/>
                <w:between w:val="nil"/>
              </w:pBdr>
              <w:spacing w:line="276" w:lineRule="auto"/>
              <w:jc w:val="center"/>
            </w:pPr>
            <w:r>
              <w:rPr>
                <w:b/>
                <w:color w:val="000000"/>
                <w:sz w:val="28"/>
                <w:szCs w:val="28"/>
              </w:rPr>
              <w:t xml:space="preserve">Chapter </w:t>
            </w:r>
            <w:r w:rsidR="00E31EE4">
              <w:rPr>
                <w:b/>
                <w:color w:val="000000"/>
                <w:sz w:val="28"/>
                <w:szCs w:val="28"/>
              </w:rPr>
              <w:t>4</w:t>
            </w:r>
            <w:r>
              <w:rPr>
                <w:b/>
                <w:color w:val="000000"/>
                <w:sz w:val="28"/>
                <w:szCs w:val="28"/>
              </w:rPr>
              <w:t>: Virtual Assets Committee</w:t>
            </w:r>
          </w:p>
          <w:p w14:paraId="1F66DCF5" w14:textId="77777777" w:rsidR="0075552D" w:rsidRDefault="0075552D" w:rsidP="0075552D">
            <w:pPr>
              <w:jc w:val="center"/>
              <w:rPr>
                <w:b/>
                <w:color w:val="000000"/>
                <w:sz w:val="28"/>
                <w:szCs w:val="28"/>
              </w:rPr>
            </w:pPr>
          </w:p>
        </w:tc>
      </w:tr>
      <w:tr w:rsidR="0075552D" w14:paraId="4A0C7915" w14:textId="77777777" w:rsidTr="002E43D9">
        <w:trPr>
          <w:trHeight w:val="289"/>
        </w:trPr>
        <w:tc>
          <w:tcPr>
            <w:tcW w:w="2880" w:type="dxa"/>
          </w:tcPr>
          <w:p w14:paraId="1167570B" w14:textId="77777777" w:rsidR="0075552D" w:rsidRDefault="0075552D" w:rsidP="0075552D">
            <w:pPr>
              <w:rPr>
                <w:color w:val="EE0000"/>
              </w:rPr>
            </w:pPr>
            <w:r>
              <w:rPr>
                <w:b/>
                <w:color w:val="000000"/>
              </w:rPr>
              <w:t>Establishment and Composition</w:t>
            </w:r>
          </w:p>
        </w:tc>
        <w:tc>
          <w:tcPr>
            <w:tcW w:w="535" w:type="dxa"/>
          </w:tcPr>
          <w:p w14:paraId="44830136" w14:textId="18C1CBE7" w:rsidR="0075552D" w:rsidRDefault="00791324" w:rsidP="0075552D">
            <w:pPr>
              <w:rPr>
                <w:color w:val="000000"/>
              </w:rPr>
            </w:pPr>
            <w:r>
              <w:rPr>
                <w:color w:val="000000"/>
              </w:rPr>
              <w:t>2</w:t>
            </w:r>
            <w:r w:rsidR="00A63AE5">
              <w:rPr>
                <w:color w:val="000000"/>
              </w:rPr>
              <w:t>1</w:t>
            </w:r>
            <w:r w:rsidR="0075552D">
              <w:rPr>
                <w:color w:val="000000"/>
              </w:rPr>
              <w:t>.</w:t>
            </w:r>
          </w:p>
        </w:tc>
        <w:tc>
          <w:tcPr>
            <w:tcW w:w="488" w:type="dxa"/>
          </w:tcPr>
          <w:p w14:paraId="70D241A4" w14:textId="77777777" w:rsidR="0075552D" w:rsidRDefault="0075552D" w:rsidP="0075552D">
            <w:pPr>
              <w:jc w:val="center"/>
              <w:rPr>
                <w:color w:val="000000"/>
              </w:rPr>
            </w:pPr>
            <w:r>
              <w:rPr>
                <w:color w:val="000000"/>
              </w:rPr>
              <w:t>(a)</w:t>
            </w:r>
          </w:p>
        </w:tc>
        <w:tc>
          <w:tcPr>
            <w:tcW w:w="592" w:type="dxa"/>
          </w:tcPr>
          <w:p w14:paraId="4D2D264A" w14:textId="77777777" w:rsidR="0075552D" w:rsidRDefault="0075552D" w:rsidP="0075552D">
            <w:pPr>
              <w:jc w:val="center"/>
              <w:rPr>
                <w:color w:val="000000"/>
              </w:rPr>
            </w:pPr>
          </w:p>
        </w:tc>
        <w:tc>
          <w:tcPr>
            <w:tcW w:w="6308" w:type="dxa"/>
          </w:tcPr>
          <w:p w14:paraId="5822CC82" w14:textId="77777777" w:rsidR="0075552D" w:rsidRDefault="0075552D" w:rsidP="0075552D">
            <w:pPr>
              <w:rPr>
                <w:color w:val="000000"/>
              </w:rPr>
            </w:pPr>
            <w:r>
              <w:rPr>
                <w:color w:val="000000"/>
              </w:rPr>
              <w:t>The Authority shall establish a Virtual Assets Committee.</w:t>
            </w:r>
          </w:p>
        </w:tc>
      </w:tr>
      <w:tr w:rsidR="0075552D" w14:paraId="2CAF9D53" w14:textId="77777777" w:rsidTr="002E43D9">
        <w:trPr>
          <w:trHeight w:val="289"/>
        </w:trPr>
        <w:tc>
          <w:tcPr>
            <w:tcW w:w="2880" w:type="dxa"/>
          </w:tcPr>
          <w:p w14:paraId="5B8DFD02" w14:textId="77777777" w:rsidR="0075552D" w:rsidRDefault="0075552D" w:rsidP="0075552D">
            <w:pPr>
              <w:rPr>
                <w:color w:val="EE0000"/>
              </w:rPr>
            </w:pPr>
          </w:p>
        </w:tc>
        <w:tc>
          <w:tcPr>
            <w:tcW w:w="535" w:type="dxa"/>
          </w:tcPr>
          <w:p w14:paraId="71302285" w14:textId="77777777" w:rsidR="0075552D" w:rsidRDefault="0075552D" w:rsidP="0075552D">
            <w:pPr>
              <w:rPr>
                <w:color w:val="000000"/>
              </w:rPr>
            </w:pPr>
          </w:p>
        </w:tc>
        <w:tc>
          <w:tcPr>
            <w:tcW w:w="488" w:type="dxa"/>
          </w:tcPr>
          <w:p w14:paraId="5EA93EA0" w14:textId="77777777" w:rsidR="0075552D" w:rsidRDefault="0075552D" w:rsidP="0075552D">
            <w:pPr>
              <w:jc w:val="center"/>
              <w:rPr>
                <w:color w:val="000000"/>
              </w:rPr>
            </w:pPr>
            <w:r>
              <w:rPr>
                <w:color w:val="000000"/>
              </w:rPr>
              <w:t>(b)</w:t>
            </w:r>
          </w:p>
        </w:tc>
        <w:tc>
          <w:tcPr>
            <w:tcW w:w="592" w:type="dxa"/>
          </w:tcPr>
          <w:p w14:paraId="1DD47923" w14:textId="77777777" w:rsidR="0075552D" w:rsidRDefault="0075552D" w:rsidP="0075552D">
            <w:pPr>
              <w:jc w:val="center"/>
              <w:rPr>
                <w:color w:val="000000"/>
              </w:rPr>
            </w:pPr>
          </w:p>
        </w:tc>
        <w:tc>
          <w:tcPr>
            <w:tcW w:w="6308" w:type="dxa"/>
          </w:tcPr>
          <w:p w14:paraId="7B37F499" w14:textId="77777777" w:rsidR="0075552D" w:rsidRDefault="0075552D" w:rsidP="0075552D">
            <w:pPr>
              <w:rPr>
                <w:color w:val="000000"/>
              </w:rPr>
            </w:pPr>
            <w:r>
              <w:rPr>
                <w:color w:val="000000"/>
              </w:rPr>
              <w:t>The Committee shall consist of five (5) to seven (7) members, including:</w:t>
            </w:r>
          </w:p>
        </w:tc>
      </w:tr>
      <w:tr w:rsidR="0075552D" w14:paraId="6BBA6F91" w14:textId="77777777" w:rsidTr="002E43D9">
        <w:trPr>
          <w:trHeight w:val="289"/>
        </w:trPr>
        <w:tc>
          <w:tcPr>
            <w:tcW w:w="2880" w:type="dxa"/>
          </w:tcPr>
          <w:p w14:paraId="683349D9" w14:textId="77777777" w:rsidR="0075552D" w:rsidRDefault="0075552D" w:rsidP="0075552D">
            <w:pPr>
              <w:rPr>
                <w:color w:val="EE0000"/>
              </w:rPr>
            </w:pPr>
          </w:p>
        </w:tc>
        <w:tc>
          <w:tcPr>
            <w:tcW w:w="535" w:type="dxa"/>
          </w:tcPr>
          <w:p w14:paraId="12A4FBBA" w14:textId="77777777" w:rsidR="0075552D" w:rsidRDefault="0075552D" w:rsidP="0075552D">
            <w:pPr>
              <w:rPr>
                <w:color w:val="000000"/>
              </w:rPr>
            </w:pPr>
          </w:p>
        </w:tc>
        <w:tc>
          <w:tcPr>
            <w:tcW w:w="488" w:type="dxa"/>
          </w:tcPr>
          <w:p w14:paraId="5E59C5A4" w14:textId="77777777" w:rsidR="0075552D" w:rsidRDefault="0075552D" w:rsidP="0075552D">
            <w:pPr>
              <w:jc w:val="center"/>
              <w:rPr>
                <w:color w:val="000000"/>
              </w:rPr>
            </w:pPr>
          </w:p>
        </w:tc>
        <w:tc>
          <w:tcPr>
            <w:tcW w:w="592" w:type="dxa"/>
          </w:tcPr>
          <w:p w14:paraId="350011D3" w14:textId="77777777" w:rsidR="0075552D" w:rsidRDefault="0075552D" w:rsidP="0075552D">
            <w:pPr>
              <w:jc w:val="center"/>
              <w:rPr>
                <w:color w:val="000000"/>
              </w:rPr>
            </w:pPr>
            <w:r>
              <w:rPr>
                <w:color w:val="000000"/>
              </w:rPr>
              <w:t>I</w:t>
            </w:r>
          </w:p>
        </w:tc>
        <w:tc>
          <w:tcPr>
            <w:tcW w:w="6308" w:type="dxa"/>
          </w:tcPr>
          <w:p w14:paraId="5EB89F0C" w14:textId="17618607" w:rsidR="0075552D" w:rsidRDefault="0075552D" w:rsidP="0075552D">
            <w:pPr>
              <w:rPr>
                <w:color w:val="000000"/>
              </w:rPr>
            </w:pPr>
            <w:r>
              <w:rPr>
                <w:color w:val="000000"/>
              </w:rPr>
              <w:t>Persons with expertise in IT, cybersecurity, and related technical fields</w:t>
            </w:r>
            <w:r w:rsidR="007E51FF">
              <w:rPr>
                <w:color w:val="000000"/>
              </w:rPr>
              <w:t>;</w:t>
            </w:r>
          </w:p>
        </w:tc>
      </w:tr>
      <w:tr w:rsidR="0075552D" w14:paraId="568462B9" w14:textId="77777777" w:rsidTr="002E43D9">
        <w:trPr>
          <w:trHeight w:val="289"/>
        </w:trPr>
        <w:tc>
          <w:tcPr>
            <w:tcW w:w="2880" w:type="dxa"/>
          </w:tcPr>
          <w:p w14:paraId="6A56F034" w14:textId="77777777" w:rsidR="0075552D" w:rsidRDefault="0075552D" w:rsidP="0075552D">
            <w:pPr>
              <w:rPr>
                <w:color w:val="EE0000"/>
              </w:rPr>
            </w:pPr>
          </w:p>
        </w:tc>
        <w:tc>
          <w:tcPr>
            <w:tcW w:w="535" w:type="dxa"/>
          </w:tcPr>
          <w:p w14:paraId="2449F5B3" w14:textId="77777777" w:rsidR="0075552D" w:rsidRDefault="0075552D" w:rsidP="0075552D">
            <w:pPr>
              <w:rPr>
                <w:color w:val="000000"/>
              </w:rPr>
            </w:pPr>
          </w:p>
        </w:tc>
        <w:tc>
          <w:tcPr>
            <w:tcW w:w="488" w:type="dxa"/>
          </w:tcPr>
          <w:p w14:paraId="4463A2B4" w14:textId="77777777" w:rsidR="0075552D" w:rsidRDefault="0075552D" w:rsidP="0075552D">
            <w:pPr>
              <w:jc w:val="center"/>
              <w:rPr>
                <w:color w:val="000000"/>
              </w:rPr>
            </w:pPr>
          </w:p>
        </w:tc>
        <w:tc>
          <w:tcPr>
            <w:tcW w:w="592" w:type="dxa"/>
          </w:tcPr>
          <w:p w14:paraId="3D65A297" w14:textId="77777777" w:rsidR="0075552D" w:rsidRDefault="0075552D" w:rsidP="0075552D">
            <w:pPr>
              <w:jc w:val="center"/>
              <w:rPr>
                <w:color w:val="000000"/>
              </w:rPr>
            </w:pPr>
            <w:r>
              <w:rPr>
                <w:color w:val="000000"/>
              </w:rPr>
              <w:t>II</w:t>
            </w:r>
          </w:p>
        </w:tc>
        <w:tc>
          <w:tcPr>
            <w:tcW w:w="6308" w:type="dxa"/>
          </w:tcPr>
          <w:p w14:paraId="7F1B5477" w14:textId="55F99175" w:rsidR="0075552D" w:rsidRDefault="0075552D" w:rsidP="0075552D">
            <w:pPr>
              <w:rPr>
                <w:color w:val="000000"/>
              </w:rPr>
            </w:pPr>
            <w:r>
              <w:rPr>
                <w:color w:val="000000"/>
              </w:rPr>
              <w:t>Persons with substantial experience in business or finance</w:t>
            </w:r>
            <w:r w:rsidR="007E51FF">
              <w:rPr>
                <w:color w:val="000000"/>
              </w:rPr>
              <w:t>;</w:t>
            </w:r>
          </w:p>
        </w:tc>
      </w:tr>
      <w:tr w:rsidR="0075552D" w14:paraId="78884A24" w14:textId="77777777" w:rsidTr="002E43D9">
        <w:trPr>
          <w:trHeight w:val="289"/>
        </w:trPr>
        <w:tc>
          <w:tcPr>
            <w:tcW w:w="2880" w:type="dxa"/>
          </w:tcPr>
          <w:p w14:paraId="2FCC3909" w14:textId="77777777" w:rsidR="0075552D" w:rsidRDefault="0075552D" w:rsidP="0075552D">
            <w:pPr>
              <w:rPr>
                <w:color w:val="EE0000"/>
              </w:rPr>
            </w:pPr>
          </w:p>
        </w:tc>
        <w:tc>
          <w:tcPr>
            <w:tcW w:w="535" w:type="dxa"/>
          </w:tcPr>
          <w:p w14:paraId="48B4E257" w14:textId="77777777" w:rsidR="0075552D" w:rsidRDefault="0075552D" w:rsidP="0075552D">
            <w:pPr>
              <w:rPr>
                <w:color w:val="000000"/>
              </w:rPr>
            </w:pPr>
          </w:p>
        </w:tc>
        <w:tc>
          <w:tcPr>
            <w:tcW w:w="488" w:type="dxa"/>
          </w:tcPr>
          <w:p w14:paraId="5E5BF5CD" w14:textId="77777777" w:rsidR="0075552D" w:rsidRDefault="0075552D" w:rsidP="0075552D">
            <w:pPr>
              <w:jc w:val="center"/>
              <w:rPr>
                <w:color w:val="000000"/>
              </w:rPr>
            </w:pPr>
          </w:p>
        </w:tc>
        <w:tc>
          <w:tcPr>
            <w:tcW w:w="592" w:type="dxa"/>
          </w:tcPr>
          <w:p w14:paraId="08F19D48" w14:textId="77777777" w:rsidR="0075552D" w:rsidRDefault="0075552D" w:rsidP="0075552D">
            <w:pPr>
              <w:jc w:val="center"/>
              <w:rPr>
                <w:color w:val="000000"/>
              </w:rPr>
            </w:pPr>
            <w:r>
              <w:rPr>
                <w:color w:val="000000"/>
              </w:rPr>
              <w:t>III</w:t>
            </w:r>
          </w:p>
        </w:tc>
        <w:tc>
          <w:tcPr>
            <w:tcW w:w="6308" w:type="dxa"/>
          </w:tcPr>
          <w:p w14:paraId="382B8489" w14:textId="6A671557" w:rsidR="0075552D" w:rsidRDefault="0075552D" w:rsidP="0075552D">
            <w:pPr>
              <w:rPr>
                <w:color w:val="000000"/>
              </w:rPr>
            </w:pPr>
            <w:r>
              <w:rPr>
                <w:color w:val="000000"/>
              </w:rPr>
              <w:t>Qualified legal and accounting professionals</w:t>
            </w:r>
            <w:r w:rsidR="007E51FF">
              <w:rPr>
                <w:color w:val="000000"/>
              </w:rPr>
              <w:t>;</w:t>
            </w:r>
          </w:p>
        </w:tc>
      </w:tr>
      <w:tr w:rsidR="0075552D" w14:paraId="77F8245D" w14:textId="77777777" w:rsidTr="002E43D9">
        <w:trPr>
          <w:trHeight w:val="289"/>
        </w:trPr>
        <w:tc>
          <w:tcPr>
            <w:tcW w:w="2880" w:type="dxa"/>
          </w:tcPr>
          <w:p w14:paraId="1F914722" w14:textId="77777777" w:rsidR="0075552D" w:rsidRDefault="0075552D" w:rsidP="0075552D">
            <w:pPr>
              <w:rPr>
                <w:color w:val="EE0000"/>
              </w:rPr>
            </w:pPr>
          </w:p>
        </w:tc>
        <w:tc>
          <w:tcPr>
            <w:tcW w:w="535" w:type="dxa"/>
          </w:tcPr>
          <w:p w14:paraId="2362A72A" w14:textId="77777777" w:rsidR="0075552D" w:rsidRDefault="0075552D" w:rsidP="0075552D">
            <w:pPr>
              <w:rPr>
                <w:color w:val="000000"/>
              </w:rPr>
            </w:pPr>
          </w:p>
        </w:tc>
        <w:tc>
          <w:tcPr>
            <w:tcW w:w="488" w:type="dxa"/>
          </w:tcPr>
          <w:p w14:paraId="1AB3B87F" w14:textId="77777777" w:rsidR="0075552D" w:rsidRDefault="0075552D" w:rsidP="0075552D">
            <w:pPr>
              <w:jc w:val="center"/>
              <w:rPr>
                <w:color w:val="000000"/>
              </w:rPr>
            </w:pPr>
          </w:p>
        </w:tc>
        <w:tc>
          <w:tcPr>
            <w:tcW w:w="592" w:type="dxa"/>
          </w:tcPr>
          <w:p w14:paraId="7BB9A97D" w14:textId="77777777" w:rsidR="0075552D" w:rsidRDefault="0075552D" w:rsidP="0075552D">
            <w:pPr>
              <w:jc w:val="center"/>
              <w:rPr>
                <w:color w:val="000000"/>
              </w:rPr>
            </w:pPr>
            <w:r>
              <w:rPr>
                <w:color w:val="000000"/>
              </w:rPr>
              <w:t>IV</w:t>
            </w:r>
          </w:p>
        </w:tc>
        <w:tc>
          <w:tcPr>
            <w:tcW w:w="6308" w:type="dxa"/>
          </w:tcPr>
          <w:p w14:paraId="1CA819F2" w14:textId="77777777" w:rsidR="0075552D" w:rsidRDefault="0075552D" w:rsidP="0075552D">
            <w:pPr>
              <w:rPr>
                <w:color w:val="000000"/>
              </w:rPr>
            </w:pPr>
            <w:r>
              <w:rPr>
                <w:color w:val="000000"/>
              </w:rPr>
              <w:t>One representative from MMA and one representative from NCIT.</w:t>
            </w:r>
          </w:p>
        </w:tc>
      </w:tr>
      <w:tr w:rsidR="00AB37C0" w14:paraId="36B7C994" w14:textId="77777777" w:rsidTr="002E43D9">
        <w:trPr>
          <w:trHeight w:val="289"/>
        </w:trPr>
        <w:tc>
          <w:tcPr>
            <w:tcW w:w="2880" w:type="dxa"/>
          </w:tcPr>
          <w:p w14:paraId="07ED137A" w14:textId="77777777" w:rsidR="00AB37C0" w:rsidRDefault="00AB37C0" w:rsidP="0075552D">
            <w:pPr>
              <w:rPr>
                <w:color w:val="EE0000"/>
              </w:rPr>
            </w:pPr>
          </w:p>
        </w:tc>
        <w:tc>
          <w:tcPr>
            <w:tcW w:w="535" w:type="dxa"/>
          </w:tcPr>
          <w:p w14:paraId="2D10F5FB" w14:textId="77777777" w:rsidR="00AB37C0" w:rsidRDefault="00AB37C0" w:rsidP="0075552D">
            <w:pPr>
              <w:rPr>
                <w:color w:val="000000"/>
              </w:rPr>
            </w:pPr>
          </w:p>
        </w:tc>
        <w:tc>
          <w:tcPr>
            <w:tcW w:w="488" w:type="dxa"/>
          </w:tcPr>
          <w:p w14:paraId="7EB95CAC" w14:textId="255A35DB" w:rsidR="00AB37C0" w:rsidRDefault="00AB37C0" w:rsidP="0075552D">
            <w:pPr>
              <w:jc w:val="center"/>
              <w:rPr>
                <w:color w:val="000000"/>
              </w:rPr>
            </w:pPr>
            <w:r>
              <w:rPr>
                <w:color w:val="000000"/>
              </w:rPr>
              <w:t>(c)</w:t>
            </w:r>
          </w:p>
        </w:tc>
        <w:tc>
          <w:tcPr>
            <w:tcW w:w="592" w:type="dxa"/>
          </w:tcPr>
          <w:p w14:paraId="28251F0F" w14:textId="77777777" w:rsidR="00AB37C0" w:rsidRDefault="00AB37C0" w:rsidP="0075552D">
            <w:pPr>
              <w:jc w:val="center"/>
              <w:rPr>
                <w:color w:val="000000"/>
              </w:rPr>
            </w:pPr>
          </w:p>
        </w:tc>
        <w:tc>
          <w:tcPr>
            <w:tcW w:w="6308" w:type="dxa"/>
          </w:tcPr>
          <w:p w14:paraId="33253D92" w14:textId="1489E4A9" w:rsidR="00AB37C0" w:rsidRDefault="004A24D1" w:rsidP="0075552D">
            <w:pPr>
              <w:rPr>
                <w:color w:val="000000"/>
              </w:rPr>
            </w:pPr>
            <w:r>
              <w:t xml:space="preserve">The </w:t>
            </w:r>
            <w:r w:rsidRPr="001C0572">
              <w:t>Chief Executive Officer (CEO) of the Authority shall be responsible for designating the Secretary</w:t>
            </w:r>
            <w:r>
              <w:t xml:space="preserve"> of the Committee. </w:t>
            </w:r>
          </w:p>
        </w:tc>
      </w:tr>
      <w:tr w:rsidR="0075552D" w14:paraId="74463E0B" w14:textId="77777777" w:rsidTr="002E43D9">
        <w:trPr>
          <w:trHeight w:val="289"/>
        </w:trPr>
        <w:tc>
          <w:tcPr>
            <w:tcW w:w="2880" w:type="dxa"/>
          </w:tcPr>
          <w:p w14:paraId="0598009F" w14:textId="77777777" w:rsidR="0075552D" w:rsidRDefault="0075552D" w:rsidP="0075552D">
            <w:pPr>
              <w:rPr>
                <w:color w:val="EE0000"/>
              </w:rPr>
            </w:pPr>
            <w:r>
              <w:rPr>
                <w:b/>
                <w:color w:val="000000"/>
              </w:rPr>
              <w:t>Duties of the Committee</w:t>
            </w:r>
          </w:p>
        </w:tc>
        <w:tc>
          <w:tcPr>
            <w:tcW w:w="535" w:type="dxa"/>
          </w:tcPr>
          <w:p w14:paraId="335C788D" w14:textId="5ED7197D" w:rsidR="0075552D" w:rsidRDefault="00A952CA" w:rsidP="0075552D">
            <w:pPr>
              <w:rPr>
                <w:color w:val="000000"/>
              </w:rPr>
            </w:pPr>
            <w:r>
              <w:rPr>
                <w:color w:val="000000"/>
              </w:rPr>
              <w:t>2</w:t>
            </w:r>
            <w:r w:rsidR="00776BB8">
              <w:rPr>
                <w:color w:val="000000"/>
              </w:rPr>
              <w:t>2</w:t>
            </w:r>
            <w:r w:rsidR="0075552D">
              <w:rPr>
                <w:color w:val="000000"/>
              </w:rPr>
              <w:t>.</w:t>
            </w:r>
          </w:p>
        </w:tc>
        <w:tc>
          <w:tcPr>
            <w:tcW w:w="488" w:type="dxa"/>
          </w:tcPr>
          <w:p w14:paraId="7D899A2D" w14:textId="77777777" w:rsidR="0075552D" w:rsidRDefault="0075552D" w:rsidP="0075552D">
            <w:pPr>
              <w:jc w:val="center"/>
              <w:rPr>
                <w:color w:val="000000"/>
              </w:rPr>
            </w:pPr>
            <w:r>
              <w:rPr>
                <w:color w:val="000000"/>
              </w:rPr>
              <w:t>(a)</w:t>
            </w:r>
          </w:p>
        </w:tc>
        <w:tc>
          <w:tcPr>
            <w:tcW w:w="592" w:type="dxa"/>
          </w:tcPr>
          <w:p w14:paraId="22ECB233" w14:textId="77777777" w:rsidR="0075552D" w:rsidRDefault="0075552D" w:rsidP="0075552D">
            <w:pPr>
              <w:jc w:val="center"/>
              <w:rPr>
                <w:color w:val="000000"/>
              </w:rPr>
            </w:pPr>
          </w:p>
        </w:tc>
        <w:tc>
          <w:tcPr>
            <w:tcW w:w="6308" w:type="dxa"/>
          </w:tcPr>
          <w:p w14:paraId="6D7D201F" w14:textId="2A22D07B" w:rsidR="0075552D" w:rsidRDefault="0075552D" w:rsidP="0075552D">
            <w:pPr>
              <w:rPr>
                <w:color w:val="000000"/>
              </w:rPr>
            </w:pPr>
            <w:r>
              <w:rPr>
                <w:color w:val="000000"/>
              </w:rPr>
              <w:t xml:space="preserve">Review applications submitted </w:t>
            </w:r>
            <w:r w:rsidRPr="001C0572">
              <w:rPr>
                <w:color w:val="000000"/>
              </w:rPr>
              <w:t xml:space="preserve">under Article </w:t>
            </w:r>
            <w:r w:rsidR="001C0572" w:rsidRPr="001C0572">
              <w:rPr>
                <w:color w:val="000000"/>
              </w:rPr>
              <w:t>6</w:t>
            </w:r>
            <w:r w:rsidRPr="001C0572">
              <w:rPr>
                <w:color w:val="000000"/>
              </w:rPr>
              <w:t xml:space="preserve"> and make recommendations for approval</w:t>
            </w:r>
            <w:r>
              <w:rPr>
                <w:color w:val="000000"/>
              </w:rPr>
              <w:t>, rejection, or amendment;</w:t>
            </w:r>
          </w:p>
        </w:tc>
      </w:tr>
      <w:tr w:rsidR="0075552D" w14:paraId="778E08F1" w14:textId="77777777" w:rsidTr="002E43D9">
        <w:trPr>
          <w:trHeight w:val="289"/>
        </w:trPr>
        <w:tc>
          <w:tcPr>
            <w:tcW w:w="2880" w:type="dxa"/>
          </w:tcPr>
          <w:p w14:paraId="45C724B5" w14:textId="77777777" w:rsidR="0075552D" w:rsidRDefault="0075552D" w:rsidP="0075552D">
            <w:pPr>
              <w:rPr>
                <w:color w:val="EE0000"/>
              </w:rPr>
            </w:pPr>
          </w:p>
        </w:tc>
        <w:tc>
          <w:tcPr>
            <w:tcW w:w="535" w:type="dxa"/>
          </w:tcPr>
          <w:p w14:paraId="03D7FF36" w14:textId="77777777" w:rsidR="0075552D" w:rsidRDefault="0075552D" w:rsidP="0075552D">
            <w:pPr>
              <w:rPr>
                <w:color w:val="000000"/>
              </w:rPr>
            </w:pPr>
          </w:p>
        </w:tc>
        <w:tc>
          <w:tcPr>
            <w:tcW w:w="488" w:type="dxa"/>
          </w:tcPr>
          <w:p w14:paraId="10666AB9" w14:textId="77777777" w:rsidR="0075552D" w:rsidRDefault="0075552D" w:rsidP="0075552D">
            <w:pPr>
              <w:jc w:val="center"/>
              <w:rPr>
                <w:color w:val="000000"/>
              </w:rPr>
            </w:pPr>
            <w:r>
              <w:rPr>
                <w:color w:val="000000"/>
              </w:rPr>
              <w:t>(b)</w:t>
            </w:r>
          </w:p>
        </w:tc>
        <w:tc>
          <w:tcPr>
            <w:tcW w:w="592" w:type="dxa"/>
          </w:tcPr>
          <w:p w14:paraId="44190636" w14:textId="77777777" w:rsidR="0075552D" w:rsidRDefault="0075552D" w:rsidP="0075552D">
            <w:pPr>
              <w:jc w:val="center"/>
              <w:rPr>
                <w:color w:val="000000"/>
              </w:rPr>
            </w:pPr>
          </w:p>
        </w:tc>
        <w:tc>
          <w:tcPr>
            <w:tcW w:w="6308" w:type="dxa"/>
          </w:tcPr>
          <w:p w14:paraId="0F1018A4" w14:textId="239471DA" w:rsidR="0075552D" w:rsidRDefault="0075552D" w:rsidP="0075552D">
            <w:pPr>
              <w:rPr>
                <w:color w:val="000000"/>
              </w:rPr>
            </w:pPr>
            <w:r>
              <w:rPr>
                <w:color w:val="000000"/>
              </w:rPr>
              <w:t>Ensure conflicts of interest are disclosed and recusal occurs as necessary;</w:t>
            </w:r>
            <w:r w:rsidR="00E65A01">
              <w:rPr>
                <w:color w:val="000000"/>
              </w:rPr>
              <w:t xml:space="preserve"> </w:t>
            </w:r>
          </w:p>
        </w:tc>
      </w:tr>
      <w:tr w:rsidR="0075552D" w14:paraId="42B3E785" w14:textId="77777777" w:rsidTr="002E43D9">
        <w:trPr>
          <w:trHeight w:val="289"/>
        </w:trPr>
        <w:tc>
          <w:tcPr>
            <w:tcW w:w="2880" w:type="dxa"/>
          </w:tcPr>
          <w:p w14:paraId="1EF9FCB0" w14:textId="77777777" w:rsidR="0075552D" w:rsidRDefault="0075552D" w:rsidP="0075552D">
            <w:pPr>
              <w:rPr>
                <w:color w:val="EE0000"/>
              </w:rPr>
            </w:pPr>
            <w:r>
              <w:rPr>
                <w:color w:val="EE0000"/>
              </w:rPr>
              <w:t xml:space="preserve"> </w:t>
            </w:r>
          </w:p>
        </w:tc>
        <w:tc>
          <w:tcPr>
            <w:tcW w:w="535" w:type="dxa"/>
          </w:tcPr>
          <w:p w14:paraId="775FBE95" w14:textId="77777777" w:rsidR="0075552D" w:rsidRDefault="0075552D" w:rsidP="0075552D">
            <w:pPr>
              <w:rPr>
                <w:color w:val="000000"/>
              </w:rPr>
            </w:pPr>
          </w:p>
        </w:tc>
        <w:tc>
          <w:tcPr>
            <w:tcW w:w="488" w:type="dxa"/>
          </w:tcPr>
          <w:p w14:paraId="2F1F4162" w14:textId="77777777" w:rsidR="0075552D" w:rsidRDefault="0075552D" w:rsidP="0075552D">
            <w:pPr>
              <w:jc w:val="center"/>
              <w:rPr>
                <w:color w:val="000000"/>
              </w:rPr>
            </w:pPr>
            <w:r>
              <w:rPr>
                <w:color w:val="000000"/>
              </w:rPr>
              <w:t>(c)</w:t>
            </w:r>
          </w:p>
        </w:tc>
        <w:tc>
          <w:tcPr>
            <w:tcW w:w="592" w:type="dxa"/>
          </w:tcPr>
          <w:p w14:paraId="5D1C0BC4" w14:textId="77777777" w:rsidR="0075552D" w:rsidRDefault="0075552D" w:rsidP="0075552D">
            <w:pPr>
              <w:jc w:val="center"/>
              <w:rPr>
                <w:color w:val="000000"/>
              </w:rPr>
            </w:pPr>
          </w:p>
        </w:tc>
        <w:tc>
          <w:tcPr>
            <w:tcW w:w="6308" w:type="dxa"/>
          </w:tcPr>
          <w:p w14:paraId="17FC3CC4" w14:textId="77777777" w:rsidR="0075552D" w:rsidRDefault="0075552D" w:rsidP="0075552D">
            <w:pPr>
              <w:rPr>
                <w:color w:val="000000"/>
              </w:rPr>
            </w:pPr>
            <w:r>
              <w:rPr>
                <w:color w:val="000000"/>
              </w:rPr>
              <w:t>Submit annual reports to the Authority summarizing decisions, emerging risks, and regulatory guidance, without disclosing confidential information.</w:t>
            </w:r>
          </w:p>
        </w:tc>
      </w:tr>
      <w:tr w:rsidR="00AB3ED7" w14:paraId="50407006" w14:textId="77777777" w:rsidTr="002E43D9">
        <w:trPr>
          <w:trHeight w:val="289"/>
        </w:trPr>
        <w:tc>
          <w:tcPr>
            <w:tcW w:w="2880" w:type="dxa"/>
          </w:tcPr>
          <w:p w14:paraId="6A56D621" w14:textId="77777777" w:rsidR="00AB3ED7" w:rsidRDefault="00AB3ED7" w:rsidP="0075552D">
            <w:pPr>
              <w:rPr>
                <w:color w:val="EE0000"/>
              </w:rPr>
            </w:pPr>
          </w:p>
        </w:tc>
        <w:tc>
          <w:tcPr>
            <w:tcW w:w="535" w:type="dxa"/>
          </w:tcPr>
          <w:p w14:paraId="2061B0DE" w14:textId="77777777" w:rsidR="00AB3ED7" w:rsidRDefault="00AB3ED7" w:rsidP="0075552D">
            <w:pPr>
              <w:rPr>
                <w:color w:val="000000"/>
              </w:rPr>
            </w:pPr>
          </w:p>
        </w:tc>
        <w:tc>
          <w:tcPr>
            <w:tcW w:w="488" w:type="dxa"/>
          </w:tcPr>
          <w:p w14:paraId="5ECAF84F" w14:textId="261EABCA" w:rsidR="00AB3ED7" w:rsidRDefault="00AB3ED7" w:rsidP="0075552D">
            <w:pPr>
              <w:jc w:val="center"/>
              <w:rPr>
                <w:color w:val="000000"/>
              </w:rPr>
            </w:pPr>
            <w:r>
              <w:rPr>
                <w:color w:val="000000"/>
              </w:rPr>
              <w:t>(d)</w:t>
            </w:r>
          </w:p>
        </w:tc>
        <w:tc>
          <w:tcPr>
            <w:tcW w:w="592" w:type="dxa"/>
          </w:tcPr>
          <w:p w14:paraId="2BA4C95D" w14:textId="77777777" w:rsidR="00AB3ED7" w:rsidRDefault="00AB3ED7" w:rsidP="0075552D">
            <w:pPr>
              <w:jc w:val="center"/>
              <w:rPr>
                <w:color w:val="000000"/>
              </w:rPr>
            </w:pPr>
          </w:p>
        </w:tc>
        <w:tc>
          <w:tcPr>
            <w:tcW w:w="6308" w:type="dxa"/>
          </w:tcPr>
          <w:p w14:paraId="6BCDC661" w14:textId="65F14E51" w:rsidR="00AB3ED7" w:rsidRDefault="004E7A2A" w:rsidP="0075552D">
            <w:pPr>
              <w:rPr>
                <w:color w:val="000000"/>
              </w:rPr>
            </w:pPr>
            <w:r>
              <w:rPr>
                <w:color w:val="000000"/>
              </w:rPr>
              <w:t>The Committee shall conduct ongoing and thorough risk assessments for each new virtual asset category, including evaluation of:</w:t>
            </w:r>
          </w:p>
        </w:tc>
      </w:tr>
      <w:tr w:rsidR="004E7A2A" w14:paraId="5B4F839F" w14:textId="77777777" w:rsidTr="002E43D9">
        <w:trPr>
          <w:trHeight w:val="289"/>
        </w:trPr>
        <w:tc>
          <w:tcPr>
            <w:tcW w:w="2880" w:type="dxa"/>
          </w:tcPr>
          <w:p w14:paraId="1BE8E553" w14:textId="77777777" w:rsidR="004E7A2A" w:rsidRDefault="004E7A2A" w:rsidP="0075552D">
            <w:pPr>
              <w:rPr>
                <w:color w:val="EE0000"/>
              </w:rPr>
            </w:pPr>
          </w:p>
        </w:tc>
        <w:tc>
          <w:tcPr>
            <w:tcW w:w="535" w:type="dxa"/>
          </w:tcPr>
          <w:p w14:paraId="50B26AA8" w14:textId="77777777" w:rsidR="004E7A2A" w:rsidRDefault="004E7A2A" w:rsidP="0075552D">
            <w:pPr>
              <w:rPr>
                <w:color w:val="000000"/>
              </w:rPr>
            </w:pPr>
          </w:p>
        </w:tc>
        <w:tc>
          <w:tcPr>
            <w:tcW w:w="488" w:type="dxa"/>
          </w:tcPr>
          <w:p w14:paraId="67B29023" w14:textId="77777777" w:rsidR="004E7A2A" w:rsidRDefault="004E7A2A" w:rsidP="0075552D">
            <w:pPr>
              <w:jc w:val="center"/>
              <w:rPr>
                <w:color w:val="000000"/>
              </w:rPr>
            </w:pPr>
          </w:p>
        </w:tc>
        <w:tc>
          <w:tcPr>
            <w:tcW w:w="592" w:type="dxa"/>
          </w:tcPr>
          <w:p w14:paraId="48507824" w14:textId="14FE4EDE" w:rsidR="004E7A2A" w:rsidRDefault="004E7A2A" w:rsidP="0075552D">
            <w:pPr>
              <w:jc w:val="center"/>
              <w:rPr>
                <w:color w:val="000000"/>
              </w:rPr>
            </w:pPr>
            <w:r>
              <w:rPr>
                <w:color w:val="000000"/>
              </w:rPr>
              <w:t>I</w:t>
            </w:r>
          </w:p>
        </w:tc>
        <w:tc>
          <w:tcPr>
            <w:tcW w:w="6308" w:type="dxa"/>
          </w:tcPr>
          <w:p w14:paraId="521DC65B" w14:textId="4150633B" w:rsidR="004E7A2A" w:rsidRDefault="004E7A2A" w:rsidP="0075552D">
            <w:pPr>
              <w:rPr>
                <w:color w:val="000000"/>
              </w:rPr>
            </w:pPr>
            <w:r>
              <w:rPr>
                <w:color w:val="000000"/>
              </w:rPr>
              <w:t>Potential impacts on financial stability and market integrity;</w:t>
            </w:r>
          </w:p>
        </w:tc>
      </w:tr>
      <w:tr w:rsidR="004E7A2A" w14:paraId="555D1000" w14:textId="77777777" w:rsidTr="002E43D9">
        <w:trPr>
          <w:trHeight w:val="289"/>
        </w:trPr>
        <w:tc>
          <w:tcPr>
            <w:tcW w:w="2880" w:type="dxa"/>
          </w:tcPr>
          <w:p w14:paraId="4997F9A0" w14:textId="77777777" w:rsidR="004E7A2A" w:rsidRDefault="004E7A2A" w:rsidP="0075552D">
            <w:pPr>
              <w:rPr>
                <w:color w:val="EE0000"/>
              </w:rPr>
            </w:pPr>
          </w:p>
        </w:tc>
        <w:tc>
          <w:tcPr>
            <w:tcW w:w="535" w:type="dxa"/>
          </w:tcPr>
          <w:p w14:paraId="66503DB9" w14:textId="77777777" w:rsidR="004E7A2A" w:rsidRDefault="004E7A2A" w:rsidP="0075552D">
            <w:pPr>
              <w:rPr>
                <w:color w:val="000000"/>
              </w:rPr>
            </w:pPr>
          </w:p>
        </w:tc>
        <w:tc>
          <w:tcPr>
            <w:tcW w:w="488" w:type="dxa"/>
          </w:tcPr>
          <w:p w14:paraId="2F5CD0CD" w14:textId="77777777" w:rsidR="004E7A2A" w:rsidRDefault="004E7A2A" w:rsidP="0075552D">
            <w:pPr>
              <w:jc w:val="center"/>
              <w:rPr>
                <w:color w:val="000000"/>
              </w:rPr>
            </w:pPr>
          </w:p>
        </w:tc>
        <w:tc>
          <w:tcPr>
            <w:tcW w:w="592" w:type="dxa"/>
          </w:tcPr>
          <w:p w14:paraId="16C32636" w14:textId="7988A176" w:rsidR="004E7A2A" w:rsidRDefault="004E7A2A" w:rsidP="0075552D">
            <w:pPr>
              <w:jc w:val="center"/>
              <w:rPr>
                <w:color w:val="000000"/>
              </w:rPr>
            </w:pPr>
            <w:r>
              <w:rPr>
                <w:color w:val="000000"/>
              </w:rPr>
              <w:t>II</w:t>
            </w:r>
          </w:p>
        </w:tc>
        <w:tc>
          <w:tcPr>
            <w:tcW w:w="6308" w:type="dxa"/>
          </w:tcPr>
          <w:p w14:paraId="579DA202" w14:textId="2537F9DC" w:rsidR="004E7A2A" w:rsidRDefault="004E7A2A" w:rsidP="0075552D">
            <w:pPr>
              <w:rPr>
                <w:color w:val="000000"/>
              </w:rPr>
            </w:pPr>
            <w:r>
              <w:rPr>
                <w:color w:val="000000"/>
              </w:rPr>
              <w:t xml:space="preserve">Investor protection considerations; and </w:t>
            </w:r>
          </w:p>
        </w:tc>
      </w:tr>
      <w:tr w:rsidR="004E7A2A" w14:paraId="74F2D111" w14:textId="77777777" w:rsidTr="002E43D9">
        <w:trPr>
          <w:trHeight w:val="289"/>
        </w:trPr>
        <w:tc>
          <w:tcPr>
            <w:tcW w:w="2880" w:type="dxa"/>
          </w:tcPr>
          <w:p w14:paraId="1D6F3134" w14:textId="77777777" w:rsidR="004E7A2A" w:rsidRDefault="004E7A2A" w:rsidP="0075552D">
            <w:pPr>
              <w:rPr>
                <w:color w:val="EE0000"/>
              </w:rPr>
            </w:pPr>
          </w:p>
        </w:tc>
        <w:tc>
          <w:tcPr>
            <w:tcW w:w="535" w:type="dxa"/>
          </w:tcPr>
          <w:p w14:paraId="4DBF4B4A" w14:textId="77777777" w:rsidR="004E7A2A" w:rsidRDefault="004E7A2A" w:rsidP="0075552D">
            <w:pPr>
              <w:rPr>
                <w:color w:val="000000"/>
              </w:rPr>
            </w:pPr>
          </w:p>
        </w:tc>
        <w:tc>
          <w:tcPr>
            <w:tcW w:w="488" w:type="dxa"/>
          </w:tcPr>
          <w:p w14:paraId="3EB846F3" w14:textId="77777777" w:rsidR="004E7A2A" w:rsidRDefault="004E7A2A" w:rsidP="0075552D">
            <w:pPr>
              <w:jc w:val="center"/>
              <w:rPr>
                <w:color w:val="000000"/>
              </w:rPr>
            </w:pPr>
          </w:p>
        </w:tc>
        <w:tc>
          <w:tcPr>
            <w:tcW w:w="592" w:type="dxa"/>
          </w:tcPr>
          <w:p w14:paraId="3E86B5CA" w14:textId="359066FE" w:rsidR="004E7A2A" w:rsidRDefault="004E7A2A" w:rsidP="0075552D">
            <w:pPr>
              <w:jc w:val="center"/>
              <w:rPr>
                <w:color w:val="000000"/>
              </w:rPr>
            </w:pPr>
            <w:r>
              <w:rPr>
                <w:color w:val="000000"/>
              </w:rPr>
              <w:t>III</w:t>
            </w:r>
          </w:p>
        </w:tc>
        <w:tc>
          <w:tcPr>
            <w:tcW w:w="6308" w:type="dxa"/>
          </w:tcPr>
          <w:p w14:paraId="16B562EF" w14:textId="77777777" w:rsidR="004E7A2A" w:rsidRDefault="004E7A2A" w:rsidP="0075552D">
            <w:pPr>
              <w:rPr>
                <w:color w:val="000000"/>
              </w:rPr>
            </w:pPr>
            <w:r>
              <w:rPr>
                <w:color w:val="000000"/>
              </w:rPr>
              <w:t>Susceptibility to money laundering, terrorism financing, and other illicit activities.</w:t>
            </w:r>
          </w:p>
          <w:p w14:paraId="50F8D43C" w14:textId="5BAA6E4E" w:rsidR="004E7A2A" w:rsidRDefault="004E7A2A" w:rsidP="0075552D">
            <w:pPr>
              <w:rPr>
                <w:color w:val="000000"/>
              </w:rPr>
            </w:pPr>
          </w:p>
        </w:tc>
      </w:tr>
      <w:tr w:rsidR="00395CBA" w14:paraId="528472C0" w14:textId="77777777" w:rsidTr="002E43D9">
        <w:trPr>
          <w:trHeight w:val="289"/>
        </w:trPr>
        <w:tc>
          <w:tcPr>
            <w:tcW w:w="2880" w:type="dxa"/>
          </w:tcPr>
          <w:p w14:paraId="2FF521AD" w14:textId="77777777" w:rsidR="00395CBA" w:rsidRDefault="00395CBA" w:rsidP="0075552D">
            <w:pPr>
              <w:rPr>
                <w:color w:val="EE0000"/>
              </w:rPr>
            </w:pPr>
          </w:p>
        </w:tc>
        <w:tc>
          <w:tcPr>
            <w:tcW w:w="535" w:type="dxa"/>
          </w:tcPr>
          <w:p w14:paraId="6A19AACF" w14:textId="77777777" w:rsidR="00395CBA" w:rsidRDefault="00395CBA" w:rsidP="0075552D">
            <w:pPr>
              <w:rPr>
                <w:color w:val="000000"/>
              </w:rPr>
            </w:pPr>
          </w:p>
        </w:tc>
        <w:tc>
          <w:tcPr>
            <w:tcW w:w="488" w:type="dxa"/>
          </w:tcPr>
          <w:p w14:paraId="75BAB38B" w14:textId="427F48C6" w:rsidR="00395CBA" w:rsidRDefault="00395CBA" w:rsidP="0075552D">
            <w:pPr>
              <w:jc w:val="center"/>
              <w:rPr>
                <w:color w:val="000000"/>
              </w:rPr>
            </w:pPr>
            <w:r>
              <w:rPr>
                <w:color w:val="000000"/>
              </w:rPr>
              <w:t>(e)</w:t>
            </w:r>
          </w:p>
        </w:tc>
        <w:tc>
          <w:tcPr>
            <w:tcW w:w="592" w:type="dxa"/>
          </w:tcPr>
          <w:p w14:paraId="1686CE5D" w14:textId="77777777" w:rsidR="00395CBA" w:rsidRDefault="00395CBA" w:rsidP="0075552D">
            <w:pPr>
              <w:jc w:val="center"/>
              <w:rPr>
                <w:color w:val="000000"/>
              </w:rPr>
            </w:pPr>
          </w:p>
        </w:tc>
        <w:tc>
          <w:tcPr>
            <w:tcW w:w="6308" w:type="dxa"/>
          </w:tcPr>
          <w:p w14:paraId="4CA78ACB" w14:textId="4719B34D" w:rsidR="00395CBA" w:rsidRDefault="00984B29" w:rsidP="0075552D">
            <w:pPr>
              <w:rPr>
                <w:color w:val="000000"/>
              </w:rPr>
            </w:pPr>
            <w:r>
              <w:rPr>
                <w:color w:val="000000"/>
              </w:rPr>
              <w:t>The Committe</w:t>
            </w:r>
            <w:r w:rsidR="001832DC">
              <w:rPr>
                <w:color w:val="000000"/>
              </w:rPr>
              <w:t xml:space="preserve">e if </w:t>
            </w:r>
            <w:r w:rsidR="002B203C">
              <w:rPr>
                <w:color w:val="000000"/>
              </w:rPr>
              <w:t>necessary</w:t>
            </w:r>
            <w:r w:rsidR="001832DC">
              <w:rPr>
                <w:color w:val="000000"/>
              </w:rPr>
              <w:t xml:space="preserve"> </w:t>
            </w:r>
            <w:r>
              <w:rPr>
                <w:color w:val="000000"/>
              </w:rPr>
              <w:t>propose regulatory frameworks, licensing requirements, and supervisory mechanisms tailored to the unique characteristics and risks of newly identified virtual asset types.</w:t>
            </w:r>
          </w:p>
        </w:tc>
      </w:tr>
      <w:tr w:rsidR="00984B29" w14:paraId="58EF8D30" w14:textId="77777777" w:rsidTr="002E43D9">
        <w:trPr>
          <w:trHeight w:val="289"/>
        </w:trPr>
        <w:tc>
          <w:tcPr>
            <w:tcW w:w="2880" w:type="dxa"/>
          </w:tcPr>
          <w:p w14:paraId="17179086" w14:textId="77777777" w:rsidR="00984B29" w:rsidRDefault="00984B29" w:rsidP="0075552D">
            <w:pPr>
              <w:rPr>
                <w:color w:val="EE0000"/>
              </w:rPr>
            </w:pPr>
          </w:p>
        </w:tc>
        <w:tc>
          <w:tcPr>
            <w:tcW w:w="535" w:type="dxa"/>
          </w:tcPr>
          <w:p w14:paraId="7E101142" w14:textId="77777777" w:rsidR="00984B29" w:rsidRDefault="00984B29" w:rsidP="0075552D">
            <w:pPr>
              <w:rPr>
                <w:color w:val="000000"/>
              </w:rPr>
            </w:pPr>
          </w:p>
        </w:tc>
        <w:tc>
          <w:tcPr>
            <w:tcW w:w="488" w:type="dxa"/>
          </w:tcPr>
          <w:p w14:paraId="4973141A" w14:textId="77777777" w:rsidR="00984B29" w:rsidRDefault="00984B29" w:rsidP="0075552D">
            <w:pPr>
              <w:jc w:val="center"/>
              <w:rPr>
                <w:color w:val="000000"/>
              </w:rPr>
            </w:pPr>
          </w:p>
        </w:tc>
        <w:tc>
          <w:tcPr>
            <w:tcW w:w="592" w:type="dxa"/>
          </w:tcPr>
          <w:p w14:paraId="5ED6FE7D" w14:textId="77777777" w:rsidR="00984B29" w:rsidRDefault="00984B29" w:rsidP="0075552D">
            <w:pPr>
              <w:jc w:val="center"/>
              <w:rPr>
                <w:color w:val="000000"/>
              </w:rPr>
            </w:pPr>
          </w:p>
        </w:tc>
        <w:tc>
          <w:tcPr>
            <w:tcW w:w="6308" w:type="dxa"/>
          </w:tcPr>
          <w:p w14:paraId="78EDE177" w14:textId="77777777" w:rsidR="00984B29" w:rsidRDefault="00984B29" w:rsidP="0075552D">
            <w:pPr>
              <w:rPr>
                <w:color w:val="000000"/>
              </w:rPr>
            </w:pPr>
          </w:p>
        </w:tc>
      </w:tr>
      <w:tr w:rsidR="0075552D" w14:paraId="6847B976" w14:textId="77777777" w:rsidTr="002E43D9">
        <w:trPr>
          <w:trHeight w:val="289"/>
        </w:trPr>
        <w:tc>
          <w:tcPr>
            <w:tcW w:w="2880" w:type="dxa"/>
          </w:tcPr>
          <w:p w14:paraId="0AC5BBA0" w14:textId="3F460043" w:rsidR="0075552D" w:rsidRDefault="00776AC3" w:rsidP="0075552D">
            <w:pPr>
              <w:rPr>
                <w:b/>
                <w:color w:val="EE0000"/>
              </w:rPr>
            </w:pPr>
            <w:r>
              <w:rPr>
                <w:b/>
                <w:color w:val="000000"/>
              </w:rPr>
              <w:t>General Duties of the Committee</w:t>
            </w:r>
            <w:r w:rsidR="00B02223">
              <w:rPr>
                <w:b/>
                <w:color w:val="000000"/>
              </w:rPr>
              <w:t xml:space="preserve"> Members </w:t>
            </w:r>
          </w:p>
        </w:tc>
        <w:tc>
          <w:tcPr>
            <w:tcW w:w="535" w:type="dxa"/>
          </w:tcPr>
          <w:p w14:paraId="5EBBA896" w14:textId="593C8059" w:rsidR="0075552D" w:rsidRDefault="004351FC" w:rsidP="0075552D">
            <w:pPr>
              <w:rPr>
                <w:color w:val="000000"/>
              </w:rPr>
            </w:pPr>
            <w:r>
              <w:rPr>
                <w:color w:val="000000"/>
              </w:rPr>
              <w:t>2</w:t>
            </w:r>
            <w:r w:rsidR="007A748A">
              <w:rPr>
                <w:color w:val="000000"/>
              </w:rPr>
              <w:t>3</w:t>
            </w:r>
            <w:r w:rsidR="0075552D">
              <w:rPr>
                <w:color w:val="000000"/>
              </w:rPr>
              <w:t>.</w:t>
            </w:r>
          </w:p>
        </w:tc>
        <w:tc>
          <w:tcPr>
            <w:tcW w:w="488" w:type="dxa"/>
          </w:tcPr>
          <w:p w14:paraId="603F7CEC" w14:textId="553EA8CC" w:rsidR="0075552D" w:rsidRDefault="0075552D" w:rsidP="009F1104">
            <w:pPr>
              <w:rPr>
                <w:color w:val="000000"/>
              </w:rPr>
            </w:pPr>
          </w:p>
        </w:tc>
        <w:tc>
          <w:tcPr>
            <w:tcW w:w="592" w:type="dxa"/>
          </w:tcPr>
          <w:p w14:paraId="7EA8624A" w14:textId="77777777" w:rsidR="0075552D" w:rsidRDefault="0075552D" w:rsidP="0075552D">
            <w:pPr>
              <w:jc w:val="center"/>
              <w:rPr>
                <w:color w:val="000000"/>
              </w:rPr>
            </w:pPr>
          </w:p>
        </w:tc>
        <w:tc>
          <w:tcPr>
            <w:tcW w:w="6308" w:type="dxa"/>
          </w:tcPr>
          <w:p w14:paraId="1CCFBB0E" w14:textId="1EB6FC71" w:rsidR="0075552D" w:rsidRDefault="0075552D" w:rsidP="0075552D">
            <w:pPr>
              <w:rPr>
                <w:color w:val="000000"/>
              </w:rPr>
            </w:pPr>
            <w:r>
              <w:rPr>
                <w:color w:val="000000"/>
              </w:rPr>
              <w:t xml:space="preserve">The Committee </w:t>
            </w:r>
            <w:r w:rsidR="00A16D10">
              <w:rPr>
                <w:color w:val="000000"/>
              </w:rPr>
              <w:t>members</w:t>
            </w:r>
            <w:r w:rsidR="00B4278B">
              <w:rPr>
                <w:color w:val="000000"/>
              </w:rPr>
              <w:t xml:space="preserve"> </w:t>
            </w:r>
            <w:r>
              <w:rPr>
                <w:color w:val="000000"/>
              </w:rPr>
              <w:t xml:space="preserve">shall proactively monitor and evaluate global trends </w:t>
            </w:r>
            <w:r w:rsidRPr="00F44C7D">
              <w:rPr>
                <w:color w:val="000000"/>
              </w:rPr>
              <w:t>and innovations in virtual assets, including but not limited to:</w:t>
            </w:r>
          </w:p>
        </w:tc>
      </w:tr>
      <w:tr w:rsidR="0075552D" w14:paraId="5EC454FB" w14:textId="77777777" w:rsidTr="002E43D9">
        <w:trPr>
          <w:trHeight w:val="289"/>
        </w:trPr>
        <w:tc>
          <w:tcPr>
            <w:tcW w:w="2880" w:type="dxa"/>
          </w:tcPr>
          <w:p w14:paraId="22A2D89C" w14:textId="77777777" w:rsidR="0075552D" w:rsidRDefault="0075552D" w:rsidP="0075552D">
            <w:pPr>
              <w:rPr>
                <w:b/>
                <w:color w:val="EE0000"/>
              </w:rPr>
            </w:pPr>
          </w:p>
        </w:tc>
        <w:tc>
          <w:tcPr>
            <w:tcW w:w="535" w:type="dxa"/>
          </w:tcPr>
          <w:p w14:paraId="5C5C8BFF" w14:textId="77777777" w:rsidR="0075552D" w:rsidRDefault="0075552D" w:rsidP="0075552D">
            <w:pPr>
              <w:rPr>
                <w:color w:val="000000"/>
              </w:rPr>
            </w:pPr>
          </w:p>
        </w:tc>
        <w:tc>
          <w:tcPr>
            <w:tcW w:w="488" w:type="dxa"/>
          </w:tcPr>
          <w:p w14:paraId="65739FBC" w14:textId="77777777" w:rsidR="0075552D" w:rsidRDefault="0075552D" w:rsidP="0075552D">
            <w:pPr>
              <w:jc w:val="center"/>
              <w:rPr>
                <w:color w:val="000000"/>
              </w:rPr>
            </w:pPr>
          </w:p>
        </w:tc>
        <w:tc>
          <w:tcPr>
            <w:tcW w:w="592" w:type="dxa"/>
          </w:tcPr>
          <w:p w14:paraId="1FC3D0EE" w14:textId="77777777" w:rsidR="0075552D" w:rsidRDefault="0075552D" w:rsidP="0075552D">
            <w:pPr>
              <w:jc w:val="center"/>
              <w:rPr>
                <w:color w:val="000000"/>
              </w:rPr>
            </w:pPr>
            <w:r>
              <w:rPr>
                <w:color w:val="000000"/>
              </w:rPr>
              <w:t>I</w:t>
            </w:r>
          </w:p>
        </w:tc>
        <w:tc>
          <w:tcPr>
            <w:tcW w:w="6308" w:type="dxa"/>
          </w:tcPr>
          <w:p w14:paraId="363307F0" w14:textId="77777777" w:rsidR="0075552D" w:rsidRDefault="0075552D" w:rsidP="0075552D">
            <w:pPr>
              <w:rPr>
                <w:color w:val="000000"/>
              </w:rPr>
            </w:pPr>
            <w:r>
              <w:rPr>
                <w:color w:val="000000"/>
              </w:rPr>
              <w:t>Novel token types, such as utility tokens, stablecoins, and non-fungible tokens (NFTs)</w:t>
            </w:r>
          </w:p>
        </w:tc>
      </w:tr>
      <w:tr w:rsidR="0075552D" w14:paraId="29CA2669" w14:textId="77777777" w:rsidTr="002E43D9">
        <w:trPr>
          <w:trHeight w:val="289"/>
        </w:trPr>
        <w:tc>
          <w:tcPr>
            <w:tcW w:w="2880" w:type="dxa"/>
          </w:tcPr>
          <w:p w14:paraId="2CFD165F" w14:textId="77777777" w:rsidR="0075552D" w:rsidRDefault="0075552D" w:rsidP="0075552D">
            <w:pPr>
              <w:rPr>
                <w:b/>
                <w:color w:val="EE0000"/>
              </w:rPr>
            </w:pPr>
          </w:p>
        </w:tc>
        <w:tc>
          <w:tcPr>
            <w:tcW w:w="535" w:type="dxa"/>
          </w:tcPr>
          <w:p w14:paraId="045017A7" w14:textId="77777777" w:rsidR="0075552D" w:rsidRDefault="0075552D" w:rsidP="0075552D">
            <w:pPr>
              <w:rPr>
                <w:color w:val="000000"/>
              </w:rPr>
            </w:pPr>
          </w:p>
        </w:tc>
        <w:tc>
          <w:tcPr>
            <w:tcW w:w="488" w:type="dxa"/>
          </w:tcPr>
          <w:p w14:paraId="0FA80CAE" w14:textId="77777777" w:rsidR="0075552D" w:rsidRDefault="0075552D" w:rsidP="0075552D">
            <w:pPr>
              <w:jc w:val="center"/>
              <w:rPr>
                <w:color w:val="000000"/>
              </w:rPr>
            </w:pPr>
          </w:p>
        </w:tc>
        <w:tc>
          <w:tcPr>
            <w:tcW w:w="592" w:type="dxa"/>
          </w:tcPr>
          <w:p w14:paraId="3CFB2CBA" w14:textId="77777777" w:rsidR="0075552D" w:rsidRDefault="0075552D" w:rsidP="0075552D">
            <w:pPr>
              <w:jc w:val="center"/>
              <w:rPr>
                <w:color w:val="000000"/>
              </w:rPr>
            </w:pPr>
            <w:r>
              <w:rPr>
                <w:color w:val="000000"/>
              </w:rPr>
              <w:t>II</w:t>
            </w:r>
          </w:p>
        </w:tc>
        <w:tc>
          <w:tcPr>
            <w:tcW w:w="6308" w:type="dxa"/>
          </w:tcPr>
          <w:p w14:paraId="0AEFBA49" w14:textId="77777777" w:rsidR="0075552D" w:rsidRDefault="0075552D" w:rsidP="0075552D">
            <w:pPr>
              <w:rPr>
                <w:color w:val="000000"/>
              </w:rPr>
            </w:pPr>
            <w:r>
              <w:rPr>
                <w:color w:val="000000"/>
              </w:rPr>
              <w:t>Emerging business models, including Decentralized Finance (DeFi) platforms and Decentralized Autonomous Organizations (DAOs); and</w:t>
            </w:r>
          </w:p>
        </w:tc>
      </w:tr>
      <w:tr w:rsidR="0075552D" w14:paraId="4D105E05" w14:textId="77777777" w:rsidTr="002E43D9">
        <w:trPr>
          <w:trHeight w:val="289"/>
        </w:trPr>
        <w:tc>
          <w:tcPr>
            <w:tcW w:w="2880" w:type="dxa"/>
          </w:tcPr>
          <w:p w14:paraId="4B306435" w14:textId="77777777" w:rsidR="0075552D" w:rsidRDefault="0075552D" w:rsidP="0075552D">
            <w:pPr>
              <w:rPr>
                <w:b/>
                <w:color w:val="EE0000"/>
              </w:rPr>
            </w:pPr>
          </w:p>
        </w:tc>
        <w:tc>
          <w:tcPr>
            <w:tcW w:w="535" w:type="dxa"/>
          </w:tcPr>
          <w:p w14:paraId="1A812BD5" w14:textId="77777777" w:rsidR="0075552D" w:rsidRDefault="0075552D" w:rsidP="0075552D">
            <w:pPr>
              <w:rPr>
                <w:color w:val="000000"/>
              </w:rPr>
            </w:pPr>
          </w:p>
        </w:tc>
        <w:tc>
          <w:tcPr>
            <w:tcW w:w="488" w:type="dxa"/>
          </w:tcPr>
          <w:p w14:paraId="687B5767" w14:textId="77777777" w:rsidR="0075552D" w:rsidRDefault="0075552D" w:rsidP="0075552D">
            <w:pPr>
              <w:jc w:val="center"/>
              <w:rPr>
                <w:color w:val="000000"/>
              </w:rPr>
            </w:pPr>
          </w:p>
        </w:tc>
        <w:tc>
          <w:tcPr>
            <w:tcW w:w="592" w:type="dxa"/>
          </w:tcPr>
          <w:p w14:paraId="5ED50021" w14:textId="77777777" w:rsidR="0075552D" w:rsidRDefault="0075552D" w:rsidP="0075552D">
            <w:pPr>
              <w:jc w:val="center"/>
              <w:rPr>
                <w:color w:val="000000"/>
              </w:rPr>
            </w:pPr>
            <w:r>
              <w:rPr>
                <w:color w:val="000000"/>
              </w:rPr>
              <w:t>III</w:t>
            </w:r>
          </w:p>
        </w:tc>
        <w:tc>
          <w:tcPr>
            <w:tcW w:w="6308" w:type="dxa"/>
          </w:tcPr>
          <w:p w14:paraId="2C72D98A" w14:textId="77777777" w:rsidR="0075552D" w:rsidRDefault="0075552D" w:rsidP="0075552D">
            <w:pPr>
              <w:rPr>
                <w:color w:val="000000"/>
              </w:rPr>
            </w:pPr>
            <w:r>
              <w:rPr>
                <w:color w:val="000000"/>
              </w:rPr>
              <w:t>Associated market, operational, and financial risks.</w:t>
            </w:r>
          </w:p>
        </w:tc>
      </w:tr>
      <w:tr w:rsidR="0075552D" w14:paraId="2C2ABD42" w14:textId="77777777" w:rsidTr="002E43D9">
        <w:trPr>
          <w:trHeight w:val="289"/>
        </w:trPr>
        <w:tc>
          <w:tcPr>
            <w:tcW w:w="2880" w:type="dxa"/>
          </w:tcPr>
          <w:p w14:paraId="50C60D69" w14:textId="77777777" w:rsidR="0075552D" w:rsidRDefault="0075552D" w:rsidP="0075552D">
            <w:pPr>
              <w:rPr>
                <w:b/>
                <w:color w:val="EE0000"/>
              </w:rPr>
            </w:pPr>
            <w:r>
              <w:rPr>
                <w:b/>
                <w:color w:val="000000"/>
              </w:rPr>
              <w:t>Delegation of Responsibilities:</w:t>
            </w:r>
          </w:p>
        </w:tc>
        <w:tc>
          <w:tcPr>
            <w:tcW w:w="535" w:type="dxa"/>
          </w:tcPr>
          <w:p w14:paraId="58FD5A85" w14:textId="1163FD69" w:rsidR="0075552D" w:rsidRDefault="0075552D" w:rsidP="0075552D">
            <w:pPr>
              <w:rPr>
                <w:color w:val="000000"/>
              </w:rPr>
            </w:pPr>
            <w:r>
              <w:rPr>
                <w:color w:val="000000"/>
              </w:rPr>
              <w:t>2</w:t>
            </w:r>
            <w:r w:rsidR="007A748A">
              <w:rPr>
                <w:color w:val="000000"/>
              </w:rPr>
              <w:t>4</w:t>
            </w:r>
            <w:r>
              <w:rPr>
                <w:color w:val="000000"/>
              </w:rPr>
              <w:t>.</w:t>
            </w:r>
          </w:p>
        </w:tc>
        <w:tc>
          <w:tcPr>
            <w:tcW w:w="488" w:type="dxa"/>
          </w:tcPr>
          <w:p w14:paraId="0A86974E" w14:textId="21E46099" w:rsidR="0075552D" w:rsidRDefault="0075552D" w:rsidP="000F7151">
            <w:pPr>
              <w:rPr>
                <w:color w:val="000000"/>
              </w:rPr>
            </w:pPr>
          </w:p>
        </w:tc>
        <w:tc>
          <w:tcPr>
            <w:tcW w:w="592" w:type="dxa"/>
          </w:tcPr>
          <w:p w14:paraId="68674FE5" w14:textId="77777777" w:rsidR="0075552D" w:rsidRDefault="0075552D" w:rsidP="0075552D">
            <w:pPr>
              <w:jc w:val="center"/>
              <w:rPr>
                <w:color w:val="000000"/>
              </w:rPr>
            </w:pPr>
          </w:p>
        </w:tc>
        <w:tc>
          <w:tcPr>
            <w:tcW w:w="6308" w:type="dxa"/>
          </w:tcPr>
          <w:p w14:paraId="5E70E5BF" w14:textId="14EDBFA7" w:rsidR="0075552D" w:rsidRDefault="0075552D" w:rsidP="0075552D">
            <w:pPr>
              <w:rPr>
                <w:color w:val="000000"/>
              </w:rPr>
            </w:pPr>
            <w:r>
              <w:rPr>
                <w:color w:val="000000"/>
              </w:rPr>
              <w:t>The Committee may delegate specific tasks to sub-committees or working groups, provided that approval of virtual assets shall remain with the Committee. The Committee shall, where necessary, issue recommendations or advisory opinions on matters relating to virtual assets.</w:t>
            </w:r>
          </w:p>
        </w:tc>
      </w:tr>
      <w:tr w:rsidR="0075552D" w14:paraId="102416A5" w14:textId="77777777" w:rsidTr="002E43D9">
        <w:trPr>
          <w:trHeight w:val="289"/>
        </w:trPr>
        <w:tc>
          <w:tcPr>
            <w:tcW w:w="10803" w:type="dxa"/>
            <w:gridSpan w:val="5"/>
          </w:tcPr>
          <w:p w14:paraId="5AC7829E" w14:textId="77777777" w:rsidR="0003723A" w:rsidRDefault="0003723A" w:rsidP="0075552D">
            <w:pPr>
              <w:jc w:val="center"/>
              <w:rPr>
                <w:b/>
                <w:sz w:val="28"/>
                <w:szCs w:val="28"/>
              </w:rPr>
            </w:pPr>
          </w:p>
          <w:p w14:paraId="7570F6E5" w14:textId="6ADB720C" w:rsidR="0075552D" w:rsidRDefault="0075552D" w:rsidP="0075552D">
            <w:pPr>
              <w:jc w:val="center"/>
              <w:rPr>
                <w:b/>
                <w:sz w:val="28"/>
                <w:szCs w:val="28"/>
              </w:rPr>
            </w:pPr>
            <w:r w:rsidRPr="00682099">
              <w:rPr>
                <w:b/>
                <w:sz w:val="28"/>
                <w:szCs w:val="28"/>
              </w:rPr>
              <w:t xml:space="preserve">Chapter </w:t>
            </w:r>
            <w:r w:rsidR="00682099" w:rsidRPr="00682099">
              <w:rPr>
                <w:b/>
                <w:sz w:val="28"/>
                <w:szCs w:val="28"/>
              </w:rPr>
              <w:t>5</w:t>
            </w:r>
            <w:r w:rsidRPr="00682099">
              <w:rPr>
                <w:b/>
                <w:sz w:val="28"/>
                <w:szCs w:val="28"/>
              </w:rPr>
              <w:t>: Regulatory Safeguards</w:t>
            </w:r>
          </w:p>
          <w:p w14:paraId="7EAB63E4" w14:textId="7E533FE7" w:rsidR="0003723A" w:rsidRDefault="0003723A" w:rsidP="0075552D">
            <w:pPr>
              <w:jc w:val="center"/>
              <w:rPr>
                <w:b/>
                <w:sz w:val="28"/>
                <w:szCs w:val="28"/>
              </w:rPr>
            </w:pPr>
          </w:p>
        </w:tc>
      </w:tr>
      <w:tr w:rsidR="0075552D" w14:paraId="5D3D0687" w14:textId="77777777" w:rsidTr="002E43D9">
        <w:trPr>
          <w:trHeight w:val="289"/>
        </w:trPr>
        <w:tc>
          <w:tcPr>
            <w:tcW w:w="2880" w:type="dxa"/>
          </w:tcPr>
          <w:p w14:paraId="5385724F" w14:textId="741A0C2C" w:rsidR="0075552D" w:rsidRPr="00A52F03" w:rsidRDefault="0075552D" w:rsidP="0075552D">
            <w:pPr>
              <w:rPr>
                <w:b/>
                <w:bCs/>
              </w:rPr>
            </w:pPr>
            <w:r w:rsidRPr="00A52F03">
              <w:rPr>
                <w:b/>
                <w:bCs/>
              </w:rPr>
              <w:lastRenderedPageBreak/>
              <w:t xml:space="preserve">Governance and Management Obligations of </w:t>
            </w:r>
            <w:r w:rsidR="002333F7">
              <w:rPr>
                <w:b/>
                <w:bCs/>
              </w:rPr>
              <w:t>S-</w:t>
            </w:r>
            <w:r w:rsidRPr="00A52F03">
              <w:rPr>
                <w:b/>
                <w:bCs/>
              </w:rPr>
              <w:t>VASPs:</w:t>
            </w:r>
          </w:p>
        </w:tc>
        <w:tc>
          <w:tcPr>
            <w:tcW w:w="535" w:type="dxa"/>
          </w:tcPr>
          <w:p w14:paraId="417F2DA5" w14:textId="6C2E8C40" w:rsidR="0075552D" w:rsidRDefault="0075552D" w:rsidP="0075552D">
            <w:r>
              <w:t>2</w:t>
            </w:r>
            <w:r w:rsidR="00F30E18">
              <w:t>5</w:t>
            </w:r>
            <w:r>
              <w:t>.</w:t>
            </w:r>
          </w:p>
        </w:tc>
        <w:tc>
          <w:tcPr>
            <w:tcW w:w="488" w:type="dxa"/>
          </w:tcPr>
          <w:p w14:paraId="4706F0D4" w14:textId="77777777" w:rsidR="0075552D" w:rsidRDefault="0075552D" w:rsidP="0075552D">
            <w:pPr>
              <w:jc w:val="center"/>
            </w:pPr>
            <w:r>
              <w:t>(a)</w:t>
            </w:r>
          </w:p>
        </w:tc>
        <w:tc>
          <w:tcPr>
            <w:tcW w:w="592" w:type="dxa"/>
          </w:tcPr>
          <w:p w14:paraId="7051BF58" w14:textId="77777777" w:rsidR="0075552D" w:rsidRDefault="0075552D" w:rsidP="0075552D">
            <w:pPr>
              <w:jc w:val="center"/>
            </w:pPr>
          </w:p>
        </w:tc>
        <w:tc>
          <w:tcPr>
            <w:tcW w:w="6308" w:type="dxa"/>
          </w:tcPr>
          <w:p w14:paraId="0B267401" w14:textId="77777777" w:rsidR="0075552D" w:rsidRDefault="0075552D" w:rsidP="0075552D">
            <w:r>
              <w:t xml:space="preserve">Immediately notify </w:t>
            </w:r>
            <w:r w:rsidRPr="00616FC0">
              <w:t>the Authority of any change in directors, senior management, or key shareholders, which shall be subject to a fit-and-proper reassessment;</w:t>
            </w:r>
          </w:p>
        </w:tc>
      </w:tr>
      <w:tr w:rsidR="0075552D" w14:paraId="4F209428" w14:textId="77777777" w:rsidTr="002E43D9">
        <w:trPr>
          <w:trHeight w:val="289"/>
        </w:trPr>
        <w:tc>
          <w:tcPr>
            <w:tcW w:w="2880" w:type="dxa"/>
          </w:tcPr>
          <w:p w14:paraId="093063C7" w14:textId="77777777" w:rsidR="0075552D" w:rsidRDefault="0075552D" w:rsidP="0075552D">
            <w:pPr>
              <w:rPr>
                <w:b/>
              </w:rPr>
            </w:pPr>
          </w:p>
        </w:tc>
        <w:tc>
          <w:tcPr>
            <w:tcW w:w="535" w:type="dxa"/>
          </w:tcPr>
          <w:p w14:paraId="20709100" w14:textId="77777777" w:rsidR="0075552D" w:rsidRDefault="0075552D" w:rsidP="0075552D"/>
        </w:tc>
        <w:tc>
          <w:tcPr>
            <w:tcW w:w="488" w:type="dxa"/>
          </w:tcPr>
          <w:p w14:paraId="19778053" w14:textId="77777777" w:rsidR="0075552D" w:rsidRDefault="0075552D" w:rsidP="0075552D">
            <w:pPr>
              <w:jc w:val="center"/>
            </w:pPr>
            <w:r>
              <w:t>(b)</w:t>
            </w:r>
          </w:p>
        </w:tc>
        <w:tc>
          <w:tcPr>
            <w:tcW w:w="592" w:type="dxa"/>
          </w:tcPr>
          <w:p w14:paraId="1882A308" w14:textId="77777777" w:rsidR="0075552D" w:rsidRDefault="0075552D" w:rsidP="0075552D">
            <w:pPr>
              <w:jc w:val="center"/>
            </w:pPr>
          </w:p>
        </w:tc>
        <w:tc>
          <w:tcPr>
            <w:tcW w:w="6308" w:type="dxa"/>
          </w:tcPr>
          <w:p w14:paraId="66B52A31" w14:textId="77777777" w:rsidR="0075552D" w:rsidRDefault="0075552D" w:rsidP="0075552D">
            <w:r>
              <w:t>Establish, implement, and maintain a documented IT governance and cybersecurity framework, including:</w:t>
            </w:r>
          </w:p>
        </w:tc>
      </w:tr>
      <w:tr w:rsidR="0075552D" w14:paraId="3155564C" w14:textId="77777777" w:rsidTr="002E43D9">
        <w:trPr>
          <w:trHeight w:val="289"/>
        </w:trPr>
        <w:tc>
          <w:tcPr>
            <w:tcW w:w="2880" w:type="dxa"/>
          </w:tcPr>
          <w:p w14:paraId="2FE0B420" w14:textId="77777777" w:rsidR="0075552D" w:rsidRDefault="0075552D" w:rsidP="0075552D">
            <w:pPr>
              <w:rPr>
                <w:b/>
              </w:rPr>
            </w:pPr>
          </w:p>
        </w:tc>
        <w:tc>
          <w:tcPr>
            <w:tcW w:w="535" w:type="dxa"/>
          </w:tcPr>
          <w:p w14:paraId="5A6AF130" w14:textId="77777777" w:rsidR="0075552D" w:rsidRDefault="0075552D" w:rsidP="0075552D"/>
        </w:tc>
        <w:tc>
          <w:tcPr>
            <w:tcW w:w="488" w:type="dxa"/>
          </w:tcPr>
          <w:p w14:paraId="53B395CE" w14:textId="77777777" w:rsidR="0075552D" w:rsidRDefault="0075552D" w:rsidP="0075552D">
            <w:pPr>
              <w:jc w:val="center"/>
            </w:pPr>
          </w:p>
        </w:tc>
        <w:tc>
          <w:tcPr>
            <w:tcW w:w="592" w:type="dxa"/>
          </w:tcPr>
          <w:p w14:paraId="2B86D1BC" w14:textId="77777777" w:rsidR="0075552D" w:rsidRDefault="0075552D" w:rsidP="0075552D">
            <w:pPr>
              <w:jc w:val="center"/>
            </w:pPr>
            <w:r>
              <w:t>I</w:t>
            </w:r>
          </w:p>
        </w:tc>
        <w:tc>
          <w:tcPr>
            <w:tcW w:w="6308" w:type="dxa"/>
          </w:tcPr>
          <w:p w14:paraId="6E28E13A" w14:textId="77777777" w:rsidR="0075552D" w:rsidRDefault="0075552D" w:rsidP="0075552D">
            <w:r>
              <w:t>A comprehensive information security policy;</w:t>
            </w:r>
          </w:p>
        </w:tc>
      </w:tr>
      <w:tr w:rsidR="0075552D" w14:paraId="55DE2874" w14:textId="77777777" w:rsidTr="002E43D9">
        <w:trPr>
          <w:trHeight w:val="289"/>
        </w:trPr>
        <w:tc>
          <w:tcPr>
            <w:tcW w:w="2880" w:type="dxa"/>
          </w:tcPr>
          <w:p w14:paraId="31DC6E90" w14:textId="77777777" w:rsidR="0075552D" w:rsidRDefault="0075552D" w:rsidP="0075552D">
            <w:pPr>
              <w:rPr>
                <w:b/>
              </w:rPr>
            </w:pPr>
          </w:p>
        </w:tc>
        <w:tc>
          <w:tcPr>
            <w:tcW w:w="535" w:type="dxa"/>
          </w:tcPr>
          <w:p w14:paraId="708A52B1" w14:textId="77777777" w:rsidR="0075552D" w:rsidRDefault="0075552D" w:rsidP="0075552D"/>
        </w:tc>
        <w:tc>
          <w:tcPr>
            <w:tcW w:w="488" w:type="dxa"/>
          </w:tcPr>
          <w:p w14:paraId="05933BFA" w14:textId="77777777" w:rsidR="0075552D" w:rsidRDefault="0075552D" w:rsidP="0075552D">
            <w:pPr>
              <w:jc w:val="center"/>
            </w:pPr>
          </w:p>
        </w:tc>
        <w:tc>
          <w:tcPr>
            <w:tcW w:w="592" w:type="dxa"/>
          </w:tcPr>
          <w:p w14:paraId="7C709A0B" w14:textId="77777777" w:rsidR="0075552D" w:rsidRDefault="0075552D" w:rsidP="0075552D">
            <w:pPr>
              <w:jc w:val="center"/>
            </w:pPr>
            <w:r>
              <w:t>II</w:t>
            </w:r>
          </w:p>
        </w:tc>
        <w:tc>
          <w:tcPr>
            <w:tcW w:w="6308" w:type="dxa"/>
          </w:tcPr>
          <w:p w14:paraId="06D288FE" w14:textId="77777777" w:rsidR="0075552D" w:rsidRDefault="0075552D" w:rsidP="0075552D">
            <w:r>
              <w:t>An incident management plan;</w:t>
            </w:r>
          </w:p>
        </w:tc>
      </w:tr>
      <w:tr w:rsidR="0075552D" w14:paraId="25404734" w14:textId="77777777" w:rsidTr="002E43D9">
        <w:trPr>
          <w:trHeight w:val="289"/>
        </w:trPr>
        <w:tc>
          <w:tcPr>
            <w:tcW w:w="2880" w:type="dxa"/>
          </w:tcPr>
          <w:p w14:paraId="46C2BC1D" w14:textId="77777777" w:rsidR="0075552D" w:rsidRDefault="0075552D" w:rsidP="0075552D">
            <w:pPr>
              <w:rPr>
                <w:b/>
              </w:rPr>
            </w:pPr>
          </w:p>
        </w:tc>
        <w:tc>
          <w:tcPr>
            <w:tcW w:w="535" w:type="dxa"/>
          </w:tcPr>
          <w:p w14:paraId="37B7736F" w14:textId="77777777" w:rsidR="0075552D" w:rsidRDefault="0075552D" w:rsidP="0075552D"/>
        </w:tc>
        <w:tc>
          <w:tcPr>
            <w:tcW w:w="488" w:type="dxa"/>
          </w:tcPr>
          <w:p w14:paraId="13D44D6E" w14:textId="77777777" w:rsidR="0075552D" w:rsidRDefault="0075552D" w:rsidP="0075552D">
            <w:pPr>
              <w:jc w:val="center"/>
            </w:pPr>
          </w:p>
        </w:tc>
        <w:tc>
          <w:tcPr>
            <w:tcW w:w="592" w:type="dxa"/>
          </w:tcPr>
          <w:p w14:paraId="52AB4236" w14:textId="77777777" w:rsidR="0075552D" w:rsidRDefault="0075552D" w:rsidP="0075552D">
            <w:pPr>
              <w:jc w:val="center"/>
            </w:pPr>
            <w:r>
              <w:t>III</w:t>
            </w:r>
          </w:p>
        </w:tc>
        <w:tc>
          <w:tcPr>
            <w:tcW w:w="6308" w:type="dxa"/>
          </w:tcPr>
          <w:p w14:paraId="0F17F5E0" w14:textId="77777777" w:rsidR="0075552D" w:rsidRDefault="0075552D" w:rsidP="0075552D">
            <w:r>
              <w:t>A Board-approved risk appetite statement, reviewed annually;</w:t>
            </w:r>
          </w:p>
        </w:tc>
      </w:tr>
      <w:tr w:rsidR="0075552D" w14:paraId="31927D51" w14:textId="77777777" w:rsidTr="002E43D9">
        <w:trPr>
          <w:trHeight w:val="289"/>
        </w:trPr>
        <w:tc>
          <w:tcPr>
            <w:tcW w:w="2880" w:type="dxa"/>
          </w:tcPr>
          <w:p w14:paraId="2DF84B8A" w14:textId="77777777" w:rsidR="0075552D" w:rsidRDefault="0075552D" w:rsidP="0075552D">
            <w:pPr>
              <w:rPr>
                <w:b/>
              </w:rPr>
            </w:pPr>
          </w:p>
        </w:tc>
        <w:tc>
          <w:tcPr>
            <w:tcW w:w="535" w:type="dxa"/>
          </w:tcPr>
          <w:p w14:paraId="2976C912" w14:textId="77777777" w:rsidR="0075552D" w:rsidRDefault="0075552D" w:rsidP="0075552D"/>
        </w:tc>
        <w:tc>
          <w:tcPr>
            <w:tcW w:w="488" w:type="dxa"/>
          </w:tcPr>
          <w:p w14:paraId="4D0C8C82" w14:textId="77777777" w:rsidR="0075552D" w:rsidRDefault="0075552D" w:rsidP="0075552D">
            <w:pPr>
              <w:jc w:val="center"/>
            </w:pPr>
          </w:p>
        </w:tc>
        <w:tc>
          <w:tcPr>
            <w:tcW w:w="592" w:type="dxa"/>
          </w:tcPr>
          <w:p w14:paraId="75773050" w14:textId="77777777" w:rsidR="0075552D" w:rsidRDefault="0075552D" w:rsidP="0075552D">
            <w:pPr>
              <w:jc w:val="center"/>
            </w:pPr>
            <w:r>
              <w:t>IV</w:t>
            </w:r>
          </w:p>
        </w:tc>
        <w:tc>
          <w:tcPr>
            <w:tcW w:w="6308" w:type="dxa"/>
          </w:tcPr>
          <w:p w14:paraId="78856C23" w14:textId="77777777" w:rsidR="0075552D" w:rsidRDefault="0075552D" w:rsidP="0075552D">
            <w:r>
              <w:t>Business continuity testing at least once every twelve (12) months;</w:t>
            </w:r>
          </w:p>
        </w:tc>
      </w:tr>
      <w:tr w:rsidR="0075552D" w14:paraId="405BAAEF" w14:textId="77777777" w:rsidTr="002E43D9">
        <w:trPr>
          <w:trHeight w:val="289"/>
        </w:trPr>
        <w:tc>
          <w:tcPr>
            <w:tcW w:w="2880" w:type="dxa"/>
          </w:tcPr>
          <w:p w14:paraId="5BDE56FA" w14:textId="77777777" w:rsidR="0075552D" w:rsidRDefault="0075552D" w:rsidP="0075552D">
            <w:pPr>
              <w:rPr>
                <w:b/>
              </w:rPr>
            </w:pPr>
          </w:p>
        </w:tc>
        <w:tc>
          <w:tcPr>
            <w:tcW w:w="535" w:type="dxa"/>
          </w:tcPr>
          <w:p w14:paraId="7BBBAAC1" w14:textId="77777777" w:rsidR="0075552D" w:rsidRDefault="0075552D" w:rsidP="0075552D"/>
        </w:tc>
        <w:tc>
          <w:tcPr>
            <w:tcW w:w="488" w:type="dxa"/>
          </w:tcPr>
          <w:p w14:paraId="6992AA91" w14:textId="77777777" w:rsidR="0075552D" w:rsidRDefault="0075552D" w:rsidP="0075552D">
            <w:pPr>
              <w:jc w:val="center"/>
            </w:pPr>
            <w:r>
              <w:t>(c)</w:t>
            </w:r>
          </w:p>
        </w:tc>
        <w:tc>
          <w:tcPr>
            <w:tcW w:w="592" w:type="dxa"/>
          </w:tcPr>
          <w:p w14:paraId="3AA671A4" w14:textId="77777777" w:rsidR="0075552D" w:rsidRDefault="0075552D" w:rsidP="0075552D">
            <w:pPr>
              <w:jc w:val="center"/>
            </w:pPr>
          </w:p>
        </w:tc>
        <w:tc>
          <w:tcPr>
            <w:tcW w:w="6308" w:type="dxa"/>
          </w:tcPr>
          <w:p w14:paraId="1E6268D0" w14:textId="77777777" w:rsidR="0075552D" w:rsidRDefault="0075552D" w:rsidP="0075552D">
            <w:r>
              <w:t>Comply with the CMDA Technology and Cybersecurity Guidelines, as may be issued or amended by the Authority from time to time;</w:t>
            </w:r>
          </w:p>
        </w:tc>
      </w:tr>
      <w:tr w:rsidR="0075552D" w14:paraId="2CE79742" w14:textId="77777777" w:rsidTr="002E43D9">
        <w:trPr>
          <w:trHeight w:val="289"/>
        </w:trPr>
        <w:tc>
          <w:tcPr>
            <w:tcW w:w="2880" w:type="dxa"/>
          </w:tcPr>
          <w:p w14:paraId="17B97595" w14:textId="77777777" w:rsidR="0075552D" w:rsidRDefault="0075552D" w:rsidP="0075552D">
            <w:pPr>
              <w:rPr>
                <w:b/>
              </w:rPr>
            </w:pPr>
          </w:p>
        </w:tc>
        <w:tc>
          <w:tcPr>
            <w:tcW w:w="535" w:type="dxa"/>
          </w:tcPr>
          <w:p w14:paraId="40E0980A" w14:textId="77777777" w:rsidR="0075552D" w:rsidRDefault="0075552D" w:rsidP="0075552D"/>
        </w:tc>
        <w:tc>
          <w:tcPr>
            <w:tcW w:w="488" w:type="dxa"/>
          </w:tcPr>
          <w:p w14:paraId="03359958" w14:textId="77777777" w:rsidR="0075552D" w:rsidRDefault="0075552D" w:rsidP="0075552D">
            <w:pPr>
              <w:jc w:val="center"/>
            </w:pPr>
            <w:r>
              <w:t>(d)</w:t>
            </w:r>
          </w:p>
        </w:tc>
        <w:tc>
          <w:tcPr>
            <w:tcW w:w="592" w:type="dxa"/>
          </w:tcPr>
          <w:p w14:paraId="3A48730D" w14:textId="77777777" w:rsidR="0075552D" w:rsidRDefault="0075552D" w:rsidP="0075552D">
            <w:pPr>
              <w:jc w:val="center"/>
            </w:pPr>
          </w:p>
        </w:tc>
        <w:tc>
          <w:tcPr>
            <w:tcW w:w="6308" w:type="dxa"/>
          </w:tcPr>
          <w:p w14:paraId="08728867" w14:textId="77777777" w:rsidR="0075552D" w:rsidRDefault="0075552D" w:rsidP="0075552D">
            <w:r>
              <w:t>Establish a governance framework ensuring separation of duties, risk management oversight, and periodic board-level review of compliance performance;</w:t>
            </w:r>
          </w:p>
        </w:tc>
      </w:tr>
      <w:tr w:rsidR="0075552D" w14:paraId="28A2822C" w14:textId="77777777" w:rsidTr="002E43D9">
        <w:trPr>
          <w:trHeight w:val="289"/>
        </w:trPr>
        <w:tc>
          <w:tcPr>
            <w:tcW w:w="2880" w:type="dxa"/>
          </w:tcPr>
          <w:p w14:paraId="4BA28F86" w14:textId="77777777" w:rsidR="0075552D" w:rsidRDefault="0075552D" w:rsidP="0075552D">
            <w:pPr>
              <w:rPr>
                <w:b/>
              </w:rPr>
            </w:pPr>
          </w:p>
        </w:tc>
        <w:tc>
          <w:tcPr>
            <w:tcW w:w="535" w:type="dxa"/>
          </w:tcPr>
          <w:p w14:paraId="3668EBA3" w14:textId="77777777" w:rsidR="0075552D" w:rsidRDefault="0075552D" w:rsidP="0075552D"/>
        </w:tc>
        <w:tc>
          <w:tcPr>
            <w:tcW w:w="488" w:type="dxa"/>
          </w:tcPr>
          <w:p w14:paraId="72248B87" w14:textId="77777777" w:rsidR="0075552D" w:rsidRDefault="0075552D" w:rsidP="0075552D">
            <w:pPr>
              <w:jc w:val="center"/>
            </w:pPr>
            <w:r>
              <w:t>(e)</w:t>
            </w:r>
          </w:p>
        </w:tc>
        <w:tc>
          <w:tcPr>
            <w:tcW w:w="592" w:type="dxa"/>
          </w:tcPr>
          <w:p w14:paraId="7F09A689" w14:textId="77777777" w:rsidR="0075552D" w:rsidRDefault="0075552D" w:rsidP="0075552D">
            <w:pPr>
              <w:jc w:val="center"/>
            </w:pPr>
          </w:p>
        </w:tc>
        <w:tc>
          <w:tcPr>
            <w:tcW w:w="6308" w:type="dxa"/>
          </w:tcPr>
          <w:p w14:paraId="3046D693" w14:textId="77777777" w:rsidR="0075552D" w:rsidRDefault="0075552D" w:rsidP="0075552D">
            <w:r>
              <w:t xml:space="preserve">Remain fully liable for compliance where any material activity (custody, KYC, IT security, etc.) is </w:t>
            </w:r>
            <w:proofErr w:type="gramStart"/>
            <w:r>
              <w:t>outsourced, and</w:t>
            </w:r>
            <w:proofErr w:type="gramEnd"/>
            <w:r>
              <w:t xml:space="preserve"> obtain prior approval from the Authority for such outsourcing.</w:t>
            </w:r>
          </w:p>
        </w:tc>
      </w:tr>
      <w:tr w:rsidR="0075552D" w14:paraId="60260992" w14:textId="77777777" w:rsidTr="002E43D9">
        <w:trPr>
          <w:trHeight w:val="289"/>
        </w:trPr>
        <w:tc>
          <w:tcPr>
            <w:tcW w:w="2880" w:type="dxa"/>
          </w:tcPr>
          <w:p w14:paraId="7D68915F" w14:textId="77777777" w:rsidR="0075552D" w:rsidRDefault="0075552D" w:rsidP="0075552D">
            <w:pPr>
              <w:rPr>
                <w:b/>
              </w:rPr>
            </w:pPr>
            <w:r>
              <w:rPr>
                <w:b/>
              </w:rPr>
              <w:t>Applicability of AML Regulation</w:t>
            </w:r>
          </w:p>
        </w:tc>
        <w:tc>
          <w:tcPr>
            <w:tcW w:w="535" w:type="dxa"/>
          </w:tcPr>
          <w:p w14:paraId="2F9DDCFA" w14:textId="0F2BA5DE" w:rsidR="0075552D" w:rsidRDefault="0075552D" w:rsidP="0075552D">
            <w:r>
              <w:t>2</w:t>
            </w:r>
            <w:r w:rsidR="0011732C">
              <w:t>6</w:t>
            </w:r>
            <w:r>
              <w:t>.</w:t>
            </w:r>
          </w:p>
        </w:tc>
        <w:tc>
          <w:tcPr>
            <w:tcW w:w="488" w:type="dxa"/>
          </w:tcPr>
          <w:p w14:paraId="56333936" w14:textId="57CCE8FC" w:rsidR="0075552D" w:rsidRDefault="0075552D" w:rsidP="0075552D">
            <w:pPr>
              <w:jc w:val="center"/>
            </w:pPr>
          </w:p>
        </w:tc>
        <w:tc>
          <w:tcPr>
            <w:tcW w:w="592" w:type="dxa"/>
          </w:tcPr>
          <w:p w14:paraId="0626B705" w14:textId="77777777" w:rsidR="0075552D" w:rsidRDefault="0075552D" w:rsidP="0075552D">
            <w:pPr>
              <w:jc w:val="center"/>
            </w:pPr>
          </w:p>
        </w:tc>
        <w:tc>
          <w:tcPr>
            <w:tcW w:w="6308" w:type="dxa"/>
          </w:tcPr>
          <w:p w14:paraId="1647EB99" w14:textId="6B12E695" w:rsidR="0075552D" w:rsidRDefault="0075552D" w:rsidP="0075552D">
            <w:r>
              <w:t>All licensed Securities Virtual Asset Service Providers (S</w:t>
            </w:r>
            <w:r w:rsidR="00A72540">
              <w:t>-</w:t>
            </w:r>
            <w:r>
              <w:t>VASPs) shall comply with the obligations set out under the Prevention of Money Laundering and Terrorism Financing Act (Law No: 10/2014) and any subsidiary instruments issued thereunder.</w:t>
            </w:r>
          </w:p>
        </w:tc>
      </w:tr>
      <w:tr w:rsidR="0075552D" w14:paraId="68F1F737" w14:textId="77777777" w:rsidTr="002E43D9">
        <w:trPr>
          <w:trHeight w:val="289"/>
        </w:trPr>
        <w:tc>
          <w:tcPr>
            <w:tcW w:w="2880" w:type="dxa"/>
          </w:tcPr>
          <w:p w14:paraId="2E4A20B3" w14:textId="77777777" w:rsidR="0075552D" w:rsidRDefault="0075552D" w:rsidP="0075552D">
            <w:pPr>
              <w:rPr>
                <w:b/>
              </w:rPr>
            </w:pPr>
            <w:r>
              <w:rPr>
                <w:b/>
              </w:rPr>
              <w:t>Risk-Based Measures</w:t>
            </w:r>
          </w:p>
        </w:tc>
        <w:tc>
          <w:tcPr>
            <w:tcW w:w="535" w:type="dxa"/>
          </w:tcPr>
          <w:p w14:paraId="6CD533C3" w14:textId="0C848CF6" w:rsidR="0075552D" w:rsidRDefault="0075552D" w:rsidP="0075552D">
            <w:r>
              <w:t>2</w:t>
            </w:r>
            <w:r w:rsidR="0011732C">
              <w:t>7</w:t>
            </w:r>
            <w:r>
              <w:t>.</w:t>
            </w:r>
          </w:p>
        </w:tc>
        <w:tc>
          <w:tcPr>
            <w:tcW w:w="488" w:type="dxa"/>
          </w:tcPr>
          <w:p w14:paraId="4A2FBDA5" w14:textId="091F1168" w:rsidR="0075552D" w:rsidRDefault="0075552D" w:rsidP="0075552D">
            <w:pPr>
              <w:jc w:val="center"/>
            </w:pPr>
          </w:p>
        </w:tc>
        <w:tc>
          <w:tcPr>
            <w:tcW w:w="592" w:type="dxa"/>
          </w:tcPr>
          <w:p w14:paraId="248B3BE2" w14:textId="77777777" w:rsidR="0075552D" w:rsidRDefault="0075552D" w:rsidP="0075552D">
            <w:pPr>
              <w:jc w:val="center"/>
            </w:pPr>
          </w:p>
        </w:tc>
        <w:tc>
          <w:tcPr>
            <w:tcW w:w="6308" w:type="dxa"/>
          </w:tcPr>
          <w:p w14:paraId="0C8517E2" w14:textId="6EDE4CA1" w:rsidR="0075552D" w:rsidRDefault="0075552D" w:rsidP="0075552D">
            <w:r>
              <w:t>S</w:t>
            </w:r>
            <w:r w:rsidR="0007458D">
              <w:t>-</w:t>
            </w:r>
            <w:r>
              <w:t>VASPs shall implement measures consistent with Financial Action Task Force (FATF) Recommendations 15 and 16, including:</w:t>
            </w:r>
          </w:p>
        </w:tc>
      </w:tr>
      <w:tr w:rsidR="0075552D" w14:paraId="1A11F8A2" w14:textId="77777777" w:rsidTr="002E43D9">
        <w:trPr>
          <w:trHeight w:val="289"/>
        </w:trPr>
        <w:tc>
          <w:tcPr>
            <w:tcW w:w="2880" w:type="dxa"/>
          </w:tcPr>
          <w:p w14:paraId="25A5E913" w14:textId="77777777" w:rsidR="0075552D" w:rsidRDefault="0075552D" w:rsidP="0075552D"/>
        </w:tc>
        <w:tc>
          <w:tcPr>
            <w:tcW w:w="535" w:type="dxa"/>
          </w:tcPr>
          <w:p w14:paraId="68EB4D8D" w14:textId="77777777" w:rsidR="0075552D" w:rsidRDefault="0075552D" w:rsidP="0075552D"/>
        </w:tc>
        <w:tc>
          <w:tcPr>
            <w:tcW w:w="488" w:type="dxa"/>
          </w:tcPr>
          <w:p w14:paraId="260AF749" w14:textId="77777777" w:rsidR="0075552D" w:rsidRDefault="0075552D" w:rsidP="0075552D">
            <w:pPr>
              <w:jc w:val="center"/>
            </w:pPr>
          </w:p>
        </w:tc>
        <w:tc>
          <w:tcPr>
            <w:tcW w:w="592" w:type="dxa"/>
          </w:tcPr>
          <w:p w14:paraId="0DBD75ED" w14:textId="77777777" w:rsidR="0075552D" w:rsidRDefault="0075552D" w:rsidP="0075552D">
            <w:pPr>
              <w:jc w:val="center"/>
            </w:pPr>
            <w:r>
              <w:t>I</w:t>
            </w:r>
          </w:p>
        </w:tc>
        <w:tc>
          <w:tcPr>
            <w:tcW w:w="6308" w:type="dxa"/>
          </w:tcPr>
          <w:p w14:paraId="3861C6BC" w14:textId="77777777" w:rsidR="0075552D" w:rsidRDefault="0075552D" w:rsidP="0075552D">
            <w:r>
              <w:t>A risk-based approach to customer due diligence (CDD) and enhanced due diligence (EDD) for higher-risk clients or jurisdictions;</w:t>
            </w:r>
          </w:p>
        </w:tc>
      </w:tr>
      <w:tr w:rsidR="0075552D" w14:paraId="60FC6FEF" w14:textId="77777777" w:rsidTr="002E43D9">
        <w:trPr>
          <w:trHeight w:val="289"/>
        </w:trPr>
        <w:tc>
          <w:tcPr>
            <w:tcW w:w="2880" w:type="dxa"/>
          </w:tcPr>
          <w:p w14:paraId="3E7C2CA1" w14:textId="77777777" w:rsidR="0075552D" w:rsidRDefault="0075552D" w:rsidP="0075552D"/>
        </w:tc>
        <w:tc>
          <w:tcPr>
            <w:tcW w:w="535" w:type="dxa"/>
          </w:tcPr>
          <w:p w14:paraId="3CC8E4CB" w14:textId="77777777" w:rsidR="0075552D" w:rsidRDefault="0075552D" w:rsidP="0075552D"/>
        </w:tc>
        <w:tc>
          <w:tcPr>
            <w:tcW w:w="488" w:type="dxa"/>
          </w:tcPr>
          <w:p w14:paraId="01FE2474" w14:textId="77777777" w:rsidR="0075552D" w:rsidRDefault="0075552D" w:rsidP="0075552D">
            <w:pPr>
              <w:jc w:val="center"/>
            </w:pPr>
          </w:p>
        </w:tc>
        <w:tc>
          <w:tcPr>
            <w:tcW w:w="592" w:type="dxa"/>
          </w:tcPr>
          <w:p w14:paraId="0DC92E6A" w14:textId="77777777" w:rsidR="0075552D" w:rsidRDefault="0075552D" w:rsidP="0075552D">
            <w:pPr>
              <w:jc w:val="center"/>
            </w:pPr>
            <w:r>
              <w:t>II</w:t>
            </w:r>
          </w:p>
        </w:tc>
        <w:tc>
          <w:tcPr>
            <w:tcW w:w="6308" w:type="dxa"/>
          </w:tcPr>
          <w:p w14:paraId="7A065BCB" w14:textId="69120A5F" w:rsidR="0075552D" w:rsidRDefault="0075552D" w:rsidP="0075552D">
            <w:r>
              <w:t>Ongoing monitoring of transactions and business relationships to detect and report suspicious activity;</w:t>
            </w:r>
            <w:r w:rsidR="00C1213A">
              <w:t xml:space="preserve"> </w:t>
            </w:r>
          </w:p>
        </w:tc>
      </w:tr>
      <w:tr w:rsidR="0075552D" w14:paraId="1FB52346" w14:textId="77777777" w:rsidTr="002E43D9">
        <w:trPr>
          <w:trHeight w:val="289"/>
        </w:trPr>
        <w:tc>
          <w:tcPr>
            <w:tcW w:w="2880" w:type="dxa"/>
          </w:tcPr>
          <w:p w14:paraId="4F5F00F6" w14:textId="77777777" w:rsidR="0075552D" w:rsidRDefault="0075552D" w:rsidP="0075552D"/>
        </w:tc>
        <w:tc>
          <w:tcPr>
            <w:tcW w:w="535" w:type="dxa"/>
          </w:tcPr>
          <w:p w14:paraId="0AB4AEBE" w14:textId="77777777" w:rsidR="0075552D" w:rsidRDefault="0075552D" w:rsidP="0075552D"/>
        </w:tc>
        <w:tc>
          <w:tcPr>
            <w:tcW w:w="488" w:type="dxa"/>
          </w:tcPr>
          <w:p w14:paraId="50A06C8A" w14:textId="77777777" w:rsidR="0075552D" w:rsidRDefault="0075552D" w:rsidP="0075552D">
            <w:pPr>
              <w:jc w:val="center"/>
            </w:pPr>
          </w:p>
        </w:tc>
        <w:tc>
          <w:tcPr>
            <w:tcW w:w="592" w:type="dxa"/>
          </w:tcPr>
          <w:p w14:paraId="3570C8D8" w14:textId="77777777" w:rsidR="0075552D" w:rsidRDefault="0075552D" w:rsidP="0075552D">
            <w:pPr>
              <w:jc w:val="center"/>
            </w:pPr>
            <w:r>
              <w:t>III</w:t>
            </w:r>
          </w:p>
        </w:tc>
        <w:tc>
          <w:tcPr>
            <w:tcW w:w="6308" w:type="dxa"/>
          </w:tcPr>
          <w:p w14:paraId="42D5D0B9" w14:textId="77777777" w:rsidR="0075552D" w:rsidRDefault="0075552D" w:rsidP="0075552D">
            <w:r>
              <w:t>Timely filing of Suspicious Transaction Reports (STRs) and other mandatory disclosures with the Financial Intelligence Unit (FIU);</w:t>
            </w:r>
          </w:p>
        </w:tc>
      </w:tr>
      <w:tr w:rsidR="0075552D" w14:paraId="0F994040" w14:textId="77777777" w:rsidTr="002E43D9">
        <w:trPr>
          <w:trHeight w:val="422"/>
        </w:trPr>
        <w:tc>
          <w:tcPr>
            <w:tcW w:w="2880" w:type="dxa"/>
          </w:tcPr>
          <w:p w14:paraId="0316F4A6" w14:textId="77777777" w:rsidR="0075552D" w:rsidRDefault="0075552D" w:rsidP="0075552D"/>
          <w:p w14:paraId="22B42AF8" w14:textId="77777777" w:rsidR="0075552D" w:rsidRDefault="0075552D" w:rsidP="0075552D"/>
        </w:tc>
        <w:tc>
          <w:tcPr>
            <w:tcW w:w="535" w:type="dxa"/>
          </w:tcPr>
          <w:p w14:paraId="74E13B71" w14:textId="77777777" w:rsidR="0075552D" w:rsidRDefault="0075552D" w:rsidP="0075552D"/>
        </w:tc>
        <w:tc>
          <w:tcPr>
            <w:tcW w:w="488" w:type="dxa"/>
          </w:tcPr>
          <w:p w14:paraId="7FB25C9A" w14:textId="77777777" w:rsidR="0075552D" w:rsidRDefault="0075552D" w:rsidP="0075552D">
            <w:pPr>
              <w:jc w:val="center"/>
            </w:pPr>
          </w:p>
        </w:tc>
        <w:tc>
          <w:tcPr>
            <w:tcW w:w="592" w:type="dxa"/>
          </w:tcPr>
          <w:p w14:paraId="78977834" w14:textId="77777777" w:rsidR="0075552D" w:rsidRDefault="0075552D" w:rsidP="0075552D">
            <w:pPr>
              <w:jc w:val="center"/>
            </w:pPr>
            <w:r>
              <w:t>IV</w:t>
            </w:r>
          </w:p>
        </w:tc>
        <w:tc>
          <w:tcPr>
            <w:tcW w:w="6308" w:type="dxa"/>
          </w:tcPr>
          <w:p w14:paraId="65EB5142" w14:textId="77777777" w:rsidR="0075552D" w:rsidRDefault="0075552D" w:rsidP="0075552D">
            <w:r>
              <w:t>Record-keeping of all client and transaction data for a minimum period of five (5) years</w:t>
            </w:r>
          </w:p>
        </w:tc>
      </w:tr>
      <w:tr w:rsidR="0075552D" w14:paraId="7055B2D4" w14:textId="77777777" w:rsidTr="002E43D9">
        <w:trPr>
          <w:trHeight w:val="422"/>
        </w:trPr>
        <w:tc>
          <w:tcPr>
            <w:tcW w:w="2880" w:type="dxa"/>
          </w:tcPr>
          <w:p w14:paraId="0542809D" w14:textId="77777777" w:rsidR="0075552D" w:rsidRDefault="0075552D" w:rsidP="0075552D"/>
        </w:tc>
        <w:tc>
          <w:tcPr>
            <w:tcW w:w="535" w:type="dxa"/>
          </w:tcPr>
          <w:p w14:paraId="634CC4B3" w14:textId="77777777" w:rsidR="0075552D" w:rsidRDefault="0075552D" w:rsidP="0075552D"/>
        </w:tc>
        <w:tc>
          <w:tcPr>
            <w:tcW w:w="488" w:type="dxa"/>
          </w:tcPr>
          <w:p w14:paraId="1322F3AD" w14:textId="77777777" w:rsidR="0075552D" w:rsidRDefault="0075552D" w:rsidP="0075552D">
            <w:pPr>
              <w:jc w:val="center"/>
            </w:pPr>
          </w:p>
        </w:tc>
        <w:tc>
          <w:tcPr>
            <w:tcW w:w="592" w:type="dxa"/>
          </w:tcPr>
          <w:p w14:paraId="3EEAF5DC" w14:textId="77777777" w:rsidR="0075552D" w:rsidRDefault="0075552D" w:rsidP="0075552D">
            <w:pPr>
              <w:jc w:val="center"/>
            </w:pPr>
            <w:r>
              <w:t>V</w:t>
            </w:r>
          </w:p>
        </w:tc>
        <w:tc>
          <w:tcPr>
            <w:tcW w:w="6308" w:type="dxa"/>
          </w:tcPr>
          <w:p w14:paraId="56E6D3BC" w14:textId="77777777" w:rsidR="0075552D" w:rsidRDefault="0075552D" w:rsidP="0075552D">
            <w:r>
              <w:t>Screening of customers and beneficial owners against relevant sanctions and watch-lists.</w:t>
            </w:r>
          </w:p>
        </w:tc>
      </w:tr>
      <w:tr w:rsidR="0075552D" w14:paraId="2F771B24" w14:textId="77777777" w:rsidTr="002E43D9">
        <w:trPr>
          <w:trHeight w:val="422"/>
        </w:trPr>
        <w:tc>
          <w:tcPr>
            <w:tcW w:w="2880" w:type="dxa"/>
          </w:tcPr>
          <w:p w14:paraId="22BA5F8F" w14:textId="38E7A525" w:rsidR="0075552D" w:rsidRDefault="0075552D" w:rsidP="0075552D">
            <w:pPr>
              <w:rPr>
                <w:b/>
              </w:rPr>
            </w:pPr>
            <w:r>
              <w:rPr>
                <w:b/>
              </w:rPr>
              <w:t>Tier-Specific AML/CFT Programs</w:t>
            </w:r>
          </w:p>
        </w:tc>
        <w:tc>
          <w:tcPr>
            <w:tcW w:w="535" w:type="dxa"/>
          </w:tcPr>
          <w:p w14:paraId="62F0C431" w14:textId="7C807AAE" w:rsidR="0075552D" w:rsidRDefault="0075552D" w:rsidP="0075552D">
            <w:r>
              <w:t>2</w:t>
            </w:r>
            <w:r w:rsidR="0011732C">
              <w:t>8</w:t>
            </w:r>
            <w:r>
              <w:t>.</w:t>
            </w:r>
          </w:p>
        </w:tc>
        <w:tc>
          <w:tcPr>
            <w:tcW w:w="488" w:type="dxa"/>
          </w:tcPr>
          <w:p w14:paraId="49A3846F" w14:textId="77777777" w:rsidR="0075552D" w:rsidRDefault="0075552D" w:rsidP="0075552D">
            <w:pPr>
              <w:jc w:val="center"/>
            </w:pPr>
            <w:r>
              <w:t>(a)</w:t>
            </w:r>
          </w:p>
        </w:tc>
        <w:tc>
          <w:tcPr>
            <w:tcW w:w="592" w:type="dxa"/>
          </w:tcPr>
          <w:p w14:paraId="211C8119" w14:textId="77777777" w:rsidR="0075552D" w:rsidRDefault="0075552D" w:rsidP="0075552D">
            <w:pPr>
              <w:jc w:val="center"/>
            </w:pPr>
          </w:p>
        </w:tc>
        <w:tc>
          <w:tcPr>
            <w:tcW w:w="6308" w:type="dxa"/>
          </w:tcPr>
          <w:p w14:paraId="5D916FB3" w14:textId="55978969" w:rsidR="0075552D" w:rsidRDefault="0075552D" w:rsidP="0075552D">
            <w:r>
              <w:rPr>
                <w:b/>
              </w:rPr>
              <w:t>Tier 1 and Tier 2 S</w:t>
            </w:r>
            <w:r w:rsidR="00274950">
              <w:rPr>
                <w:b/>
              </w:rPr>
              <w:t>-</w:t>
            </w:r>
            <w:r>
              <w:rPr>
                <w:b/>
              </w:rPr>
              <w:t>VASPs</w:t>
            </w:r>
            <w:r>
              <w:t xml:space="preserve"> shall maintain comprehensive AML/CFT programs proportionate to their scale and risk profile, including:</w:t>
            </w:r>
          </w:p>
        </w:tc>
      </w:tr>
      <w:tr w:rsidR="0075552D" w14:paraId="562D9D26" w14:textId="77777777" w:rsidTr="002E43D9">
        <w:trPr>
          <w:trHeight w:val="422"/>
        </w:trPr>
        <w:tc>
          <w:tcPr>
            <w:tcW w:w="2880" w:type="dxa"/>
          </w:tcPr>
          <w:p w14:paraId="07590A40" w14:textId="77777777" w:rsidR="0075552D" w:rsidRDefault="0075552D" w:rsidP="0075552D"/>
        </w:tc>
        <w:tc>
          <w:tcPr>
            <w:tcW w:w="535" w:type="dxa"/>
          </w:tcPr>
          <w:p w14:paraId="7DEAE860" w14:textId="77777777" w:rsidR="0075552D" w:rsidRDefault="0075552D" w:rsidP="0075552D"/>
        </w:tc>
        <w:tc>
          <w:tcPr>
            <w:tcW w:w="488" w:type="dxa"/>
          </w:tcPr>
          <w:p w14:paraId="37E1B4BE" w14:textId="77777777" w:rsidR="0075552D" w:rsidRDefault="0075552D" w:rsidP="0075552D">
            <w:pPr>
              <w:jc w:val="center"/>
            </w:pPr>
          </w:p>
        </w:tc>
        <w:tc>
          <w:tcPr>
            <w:tcW w:w="592" w:type="dxa"/>
          </w:tcPr>
          <w:p w14:paraId="68DFBF41" w14:textId="77777777" w:rsidR="0075552D" w:rsidRDefault="0075552D" w:rsidP="0075552D">
            <w:pPr>
              <w:jc w:val="center"/>
            </w:pPr>
            <w:r>
              <w:t>I</w:t>
            </w:r>
          </w:p>
        </w:tc>
        <w:tc>
          <w:tcPr>
            <w:tcW w:w="6308" w:type="dxa"/>
          </w:tcPr>
          <w:p w14:paraId="6AB8FF78" w14:textId="77777777" w:rsidR="0075552D" w:rsidRDefault="0075552D" w:rsidP="0075552D">
            <w:r>
              <w:t>Appointment of a Designated Compliance Officer responsible for AML/CFT oversight;</w:t>
            </w:r>
          </w:p>
        </w:tc>
      </w:tr>
      <w:tr w:rsidR="0075552D" w14:paraId="2380C6C5" w14:textId="77777777" w:rsidTr="002E43D9">
        <w:trPr>
          <w:trHeight w:val="422"/>
        </w:trPr>
        <w:tc>
          <w:tcPr>
            <w:tcW w:w="2880" w:type="dxa"/>
          </w:tcPr>
          <w:p w14:paraId="2EF28CA1" w14:textId="77777777" w:rsidR="0075552D" w:rsidRDefault="0075552D" w:rsidP="0075552D"/>
        </w:tc>
        <w:tc>
          <w:tcPr>
            <w:tcW w:w="535" w:type="dxa"/>
          </w:tcPr>
          <w:p w14:paraId="2A09BD74" w14:textId="77777777" w:rsidR="0075552D" w:rsidRDefault="0075552D" w:rsidP="0075552D"/>
        </w:tc>
        <w:tc>
          <w:tcPr>
            <w:tcW w:w="488" w:type="dxa"/>
          </w:tcPr>
          <w:p w14:paraId="52B5D11F" w14:textId="77777777" w:rsidR="0075552D" w:rsidRDefault="0075552D" w:rsidP="0075552D">
            <w:pPr>
              <w:jc w:val="center"/>
            </w:pPr>
          </w:p>
        </w:tc>
        <w:tc>
          <w:tcPr>
            <w:tcW w:w="592" w:type="dxa"/>
          </w:tcPr>
          <w:p w14:paraId="24248521" w14:textId="77777777" w:rsidR="0075552D" w:rsidRDefault="0075552D" w:rsidP="0075552D">
            <w:pPr>
              <w:jc w:val="center"/>
            </w:pPr>
            <w:r>
              <w:t>II</w:t>
            </w:r>
          </w:p>
        </w:tc>
        <w:tc>
          <w:tcPr>
            <w:tcW w:w="6308" w:type="dxa"/>
          </w:tcPr>
          <w:p w14:paraId="281407ED" w14:textId="77777777" w:rsidR="0075552D" w:rsidRDefault="0075552D" w:rsidP="0075552D">
            <w:r>
              <w:t>Periodic independent AML audits; and</w:t>
            </w:r>
          </w:p>
        </w:tc>
      </w:tr>
      <w:tr w:rsidR="0075552D" w14:paraId="68668140" w14:textId="77777777" w:rsidTr="002E43D9">
        <w:trPr>
          <w:trHeight w:val="422"/>
        </w:trPr>
        <w:tc>
          <w:tcPr>
            <w:tcW w:w="2880" w:type="dxa"/>
          </w:tcPr>
          <w:p w14:paraId="1E564BD6" w14:textId="77777777" w:rsidR="0075552D" w:rsidRDefault="0075552D" w:rsidP="0075552D"/>
        </w:tc>
        <w:tc>
          <w:tcPr>
            <w:tcW w:w="535" w:type="dxa"/>
          </w:tcPr>
          <w:p w14:paraId="6FA8032B" w14:textId="77777777" w:rsidR="0075552D" w:rsidRDefault="0075552D" w:rsidP="0075552D"/>
        </w:tc>
        <w:tc>
          <w:tcPr>
            <w:tcW w:w="488" w:type="dxa"/>
          </w:tcPr>
          <w:p w14:paraId="1B8E6BD4" w14:textId="77777777" w:rsidR="0075552D" w:rsidRDefault="0075552D" w:rsidP="0075552D">
            <w:pPr>
              <w:jc w:val="center"/>
            </w:pPr>
          </w:p>
        </w:tc>
        <w:tc>
          <w:tcPr>
            <w:tcW w:w="592" w:type="dxa"/>
          </w:tcPr>
          <w:p w14:paraId="41CB6A60" w14:textId="77777777" w:rsidR="0075552D" w:rsidRDefault="0075552D" w:rsidP="0075552D">
            <w:pPr>
              <w:jc w:val="center"/>
            </w:pPr>
            <w:r>
              <w:t>III</w:t>
            </w:r>
          </w:p>
        </w:tc>
        <w:tc>
          <w:tcPr>
            <w:tcW w:w="6308" w:type="dxa"/>
          </w:tcPr>
          <w:p w14:paraId="33BCADDB" w14:textId="77777777" w:rsidR="0075552D" w:rsidRDefault="0075552D" w:rsidP="0075552D">
            <w:r>
              <w:t>Ongoing staff training in detection and prevention of financial crime.</w:t>
            </w:r>
          </w:p>
        </w:tc>
      </w:tr>
      <w:tr w:rsidR="0075552D" w14:paraId="08FF4FB9" w14:textId="77777777" w:rsidTr="002E43D9">
        <w:trPr>
          <w:trHeight w:val="289"/>
        </w:trPr>
        <w:tc>
          <w:tcPr>
            <w:tcW w:w="2880" w:type="dxa"/>
          </w:tcPr>
          <w:p w14:paraId="3F795429" w14:textId="77777777" w:rsidR="0075552D" w:rsidRDefault="0075552D" w:rsidP="0075552D"/>
        </w:tc>
        <w:tc>
          <w:tcPr>
            <w:tcW w:w="535" w:type="dxa"/>
          </w:tcPr>
          <w:p w14:paraId="2C9E6F8E" w14:textId="77777777" w:rsidR="0075552D" w:rsidRDefault="0075552D" w:rsidP="0075552D"/>
        </w:tc>
        <w:tc>
          <w:tcPr>
            <w:tcW w:w="488" w:type="dxa"/>
          </w:tcPr>
          <w:p w14:paraId="552A5913" w14:textId="77777777" w:rsidR="0075552D" w:rsidRDefault="0075552D" w:rsidP="0075552D">
            <w:pPr>
              <w:jc w:val="center"/>
            </w:pPr>
            <w:r>
              <w:t>(b)</w:t>
            </w:r>
          </w:p>
        </w:tc>
        <w:tc>
          <w:tcPr>
            <w:tcW w:w="592" w:type="dxa"/>
          </w:tcPr>
          <w:p w14:paraId="54A81A79" w14:textId="77777777" w:rsidR="0075552D" w:rsidRDefault="0075552D" w:rsidP="0075552D">
            <w:pPr>
              <w:jc w:val="center"/>
            </w:pPr>
          </w:p>
        </w:tc>
        <w:tc>
          <w:tcPr>
            <w:tcW w:w="6308" w:type="dxa"/>
          </w:tcPr>
          <w:p w14:paraId="500C755D" w14:textId="77777777" w:rsidR="0075552D" w:rsidRDefault="0075552D" w:rsidP="0075552D">
            <w:r>
              <w:rPr>
                <w:b/>
              </w:rPr>
              <w:t>Tier 3 SVASPs</w:t>
            </w:r>
            <w:r>
              <w:t xml:space="preserve"> operating under the regulatory sandbox shall apply proportionate AML/CFT measures in accordance with the CMDA Sandbox Regulation and as directed by the Authority.</w:t>
            </w:r>
          </w:p>
        </w:tc>
      </w:tr>
      <w:tr w:rsidR="0075552D" w14:paraId="70065C5F" w14:textId="77777777" w:rsidTr="002E43D9">
        <w:trPr>
          <w:trHeight w:val="289"/>
        </w:trPr>
        <w:tc>
          <w:tcPr>
            <w:tcW w:w="2880" w:type="dxa"/>
          </w:tcPr>
          <w:p w14:paraId="45A22501" w14:textId="00CC9EDE" w:rsidR="0075552D" w:rsidRDefault="008B2A58" w:rsidP="0075552D">
            <w:pPr>
              <w:rPr>
                <w:b/>
              </w:rPr>
            </w:pPr>
            <w:r>
              <w:rPr>
                <w:b/>
              </w:rPr>
              <w:t xml:space="preserve">Information Sharing </w:t>
            </w:r>
          </w:p>
        </w:tc>
        <w:tc>
          <w:tcPr>
            <w:tcW w:w="535" w:type="dxa"/>
          </w:tcPr>
          <w:p w14:paraId="78726510" w14:textId="724710B2" w:rsidR="0075552D" w:rsidRDefault="0075552D" w:rsidP="0075552D">
            <w:r>
              <w:t>2</w:t>
            </w:r>
            <w:r w:rsidR="00C35994">
              <w:t>9</w:t>
            </w:r>
            <w:r>
              <w:t>.</w:t>
            </w:r>
          </w:p>
        </w:tc>
        <w:tc>
          <w:tcPr>
            <w:tcW w:w="488" w:type="dxa"/>
          </w:tcPr>
          <w:p w14:paraId="579BFE83" w14:textId="6C65B94B" w:rsidR="0075552D" w:rsidRDefault="0075552D" w:rsidP="008B2A58"/>
        </w:tc>
        <w:tc>
          <w:tcPr>
            <w:tcW w:w="592" w:type="dxa"/>
          </w:tcPr>
          <w:p w14:paraId="167FD06B" w14:textId="77777777" w:rsidR="0075552D" w:rsidRDefault="0075552D" w:rsidP="0075552D">
            <w:pPr>
              <w:jc w:val="center"/>
            </w:pPr>
          </w:p>
        </w:tc>
        <w:tc>
          <w:tcPr>
            <w:tcW w:w="6308" w:type="dxa"/>
          </w:tcPr>
          <w:p w14:paraId="406B50C5" w14:textId="77777777" w:rsidR="0075552D" w:rsidRDefault="0075552D" w:rsidP="0075552D">
            <w:r>
              <w:t>The Authority shall cooperate and share information with the Maldives Monetary Authority (MMA), FIU, and other competent authorities to ensure effective implementation of AML/CFT standards and prevent regulatory arbitrage.</w:t>
            </w:r>
          </w:p>
        </w:tc>
      </w:tr>
      <w:tr w:rsidR="0075552D" w14:paraId="796CA21D" w14:textId="77777777" w:rsidTr="002E43D9">
        <w:trPr>
          <w:trHeight w:val="289"/>
        </w:trPr>
        <w:tc>
          <w:tcPr>
            <w:tcW w:w="2880" w:type="dxa"/>
          </w:tcPr>
          <w:p w14:paraId="3F129B4D" w14:textId="77777777" w:rsidR="0075552D" w:rsidRDefault="0075552D" w:rsidP="0075552D">
            <w:pPr>
              <w:rPr>
                <w:b/>
              </w:rPr>
            </w:pPr>
            <w:r>
              <w:rPr>
                <w:b/>
              </w:rPr>
              <w:t>Custody and Safeguarding of Assets</w:t>
            </w:r>
          </w:p>
        </w:tc>
        <w:tc>
          <w:tcPr>
            <w:tcW w:w="535" w:type="dxa"/>
          </w:tcPr>
          <w:p w14:paraId="47DCBD4D" w14:textId="397480ED" w:rsidR="0075552D" w:rsidRDefault="00C35994" w:rsidP="0075552D">
            <w:r>
              <w:t>30</w:t>
            </w:r>
            <w:r w:rsidR="0075552D">
              <w:t>.</w:t>
            </w:r>
          </w:p>
        </w:tc>
        <w:tc>
          <w:tcPr>
            <w:tcW w:w="488" w:type="dxa"/>
          </w:tcPr>
          <w:p w14:paraId="7A571520" w14:textId="4D2BCE0A" w:rsidR="0075552D" w:rsidRDefault="0075552D" w:rsidP="005D1FDA"/>
        </w:tc>
        <w:tc>
          <w:tcPr>
            <w:tcW w:w="592" w:type="dxa"/>
          </w:tcPr>
          <w:p w14:paraId="79D26AE0" w14:textId="77777777" w:rsidR="0075552D" w:rsidRDefault="0075552D" w:rsidP="0075552D">
            <w:pPr>
              <w:jc w:val="center"/>
            </w:pPr>
          </w:p>
        </w:tc>
        <w:tc>
          <w:tcPr>
            <w:tcW w:w="6308" w:type="dxa"/>
          </w:tcPr>
          <w:p w14:paraId="185B1621" w14:textId="347B5ECC" w:rsidR="0075552D" w:rsidRDefault="005D1FDA" w:rsidP="0075552D">
            <w:r>
              <w:t>S-</w:t>
            </w:r>
            <w:r w:rsidR="0075552D">
              <w:t>VASPs providing custodial services shall adhere to the following rules:</w:t>
            </w:r>
          </w:p>
        </w:tc>
      </w:tr>
      <w:tr w:rsidR="0075552D" w14:paraId="659D2C16" w14:textId="77777777" w:rsidTr="002E43D9">
        <w:trPr>
          <w:trHeight w:val="289"/>
        </w:trPr>
        <w:tc>
          <w:tcPr>
            <w:tcW w:w="2880" w:type="dxa"/>
          </w:tcPr>
          <w:p w14:paraId="5794203B" w14:textId="77777777" w:rsidR="0075552D" w:rsidRDefault="0075552D" w:rsidP="0075552D"/>
        </w:tc>
        <w:tc>
          <w:tcPr>
            <w:tcW w:w="535" w:type="dxa"/>
          </w:tcPr>
          <w:p w14:paraId="68A54E46" w14:textId="77777777" w:rsidR="0075552D" w:rsidRDefault="0075552D" w:rsidP="0075552D"/>
        </w:tc>
        <w:tc>
          <w:tcPr>
            <w:tcW w:w="488" w:type="dxa"/>
          </w:tcPr>
          <w:p w14:paraId="28B8C147" w14:textId="77777777" w:rsidR="0075552D" w:rsidRDefault="0075552D" w:rsidP="0075552D">
            <w:pPr>
              <w:jc w:val="center"/>
            </w:pPr>
          </w:p>
        </w:tc>
        <w:tc>
          <w:tcPr>
            <w:tcW w:w="592" w:type="dxa"/>
          </w:tcPr>
          <w:p w14:paraId="52DB7F35" w14:textId="77777777" w:rsidR="0075552D" w:rsidRDefault="0075552D" w:rsidP="0075552D">
            <w:pPr>
              <w:jc w:val="center"/>
            </w:pPr>
            <w:r>
              <w:t>I</w:t>
            </w:r>
          </w:p>
        </w:tc>
        <w:tc>
          <w:tcPr>
            <w:tcW w:w="6308" w:type="dxa"/>
          </w:tcPr>
          <w:p w14:paraId="49ABF9DB" w14:textId="77777777" w:rsidR="0075552D" w:rsidRDefault="0075552D" w:rsidP="0075552D">
            <w:r>
              <w:t xml:space="preserve">Mandate the </w:t>
            </w:r>
            <w:r w:rsidRPr="00585AFE">
              <w:t>segregation of client assets from company assets through trust accounts or licensed custodians;</w:t>
            </w:r>
          </w:p>
        </w:tc>
      </w:tr>
      <w:tr w:rsidR="0075552D" w14:paraId="60212A4D" w14:textId="77777777" w:rsidTr="002E43D9">
        <w:trPr>
          <w:trHeight w:val="289"/>
        </w:trPr>
        <w:tc>
          <w:tcPr>
            <w:tcW w:w="2880" w:type="dxa"/>
          </w:tcPr>
          <w:p w14:paraId="59B1268D" w14:textId="77777777" w:rsidR="0075552D" w:rsidRDefault="0075552D" w:rsidP="0075552D"/>
        </w:tc>
        <w:tc>
          <w:tcPr>
            <w:tcW w:w="535" w:type="dxa"/>
          </w:tcPr>
          <w:p w14:paraId="7C20D1E6" w14:textId="77777777" w:rsidR="0075552D" w:rsidRDefault="0075552D" w:rsidP="0075552D"/>
        </w:tc>
        <w:tc>
          <w:tcPr>
            <w:tcW w:w="488" w:type="dxa"/>
          </w:tcPr>
          <w:p w14:paraId="12216D3A" w14:textId="77777777" w:rsidR="0075552D" w:rsidRDefault="0075552D" w:rsidP="0075552D">
            <w:pPr>
              <w:jc w:val="center"/>
            </w:pPr>
          </w:p>
        </w:tc>
        <w:tc>
          <w:tcPr>
            <w:tcW w:w="592" w:type="dxa"/>
          </w:tcPr>
          <w:p w14:paraId="27680989" w14:textId="77777777" w:rsidR="0075552D" w:rsidRDefault="0075552D" w:rsidP="0075552D">
            <w:pPr>
              <w:jc w:val="center"/>
            </w:pPr>
            <w:r>
              <w:t>II</w:t>
            </w:r>
          </w:p>
        </w:tc>
        <w:tc>
          <w:tcPr>
            <w:tcW w:w="6308" w:type="dxa"/>
          </w:tcPr>
          <w:p w14:paraId="5D42A0D6" w14:textId="77777777" w:rsidR="0075552D" w:rsidRDefault="0075552D" w:rsidP="0075552D">
            <w:r>
              <w:t>Implement robust technical and operational safeguards to ensure the security and segregation of client assets, in accordance with the Authority’s cybersecurity and custody requirements;</w:t>
            </w:r>
          </w:p>
        </w:tc>
      </w:tr>
      <w:tr w:rsidR="0075552D" w14:paraId="4B674953" w14:textId="77777777" w:rsidTr="002E43D9">
        <w:trPr>
          <w:trHeight w:val="289"/>
        </w:trPr>
        <w:tc>
          <w:tcPr>
            <w:tcW w:w="2880" w:type="dxa"/>
          </w:tcPr>
          <w:p w14:paraId="7360AFC6" w14:textId="77777777" w:rsidR="0075552D" w:rsidRDefault="0075552D" w:rsidP="00943965">
            <w:pPr>
              <w:jc w:val="center"/>
            </w:pPr>
          </w:p>
        </w:tc>
        <w:tc>
          <w:tcPr>
            <w:tcW w:w="535" w:type="dxa"/>
          </w:tcPr>
          <w:p w14:paraId="5F443D08" w14:textId="77777777" w:rsidR="0075552D" w:rsidRDefault="0075552D" w:rsidP="0075552D"/>
        </w:tc>
        <w:tc>
          <w:tcPr>
            <w:tcW w:w="488" w:type="dxa"/>
          </w:tcPr>
          <w:p w14:paraId="57E650B8" w14:textId="77777777" w:rsidR="0075552D" w:rsidRDefault="0075552D" w:rsidP="0075552D">
            <w:pPr>
              <w:jc w:val="center"/>
            </w:pPr>
          </w:p>
        </w:tc>
        <w:tc>
          <w:tcPr>
            <w:tcW w:w="592" w:type="dxa"/>
          </w:tcPr>
          <w:p w14:paraId="39B38381" w14:textId="77777777" w:rsidR="0075552D" w:rsidRDefault="0075552D" w:rsidP="0075552D">
            <w:pPr>
              <w:jc w:val="center"/>
            </w:pPr>
            <w:r>
              <w:t>III</w:t>
            </w:r>
          </w:p>
        </w:tc>
        <w:tc>
          <w:tcPr>
            <w:tcW w:w="6308" w:type="dxa"/>
          </w:tcPr>
          <w:p w14:paraId="36C8AB7A" w14:textId="7B874212" w:rsidR="0075552D" w:rsidRDefault="0075552D" w:rsidP="0075552D">
            <w:r>
              <w:t>Licensed custodians shall maint</w:t>
            </w:r>
            <w:r w:rsidRPr="00585AFE">
              <w:t>ain insurance coverage to protect client assets.</w:t>
            </w:r>
            <w:r w:rsidR="00275EA8">
              <w:t xml:space="preserve"> </w:t>
            </w:r>
          </w:p>
        </w:tc>
      </w:tr>
      <w:tr w:rsidR="0075552D" w14:paraId="5BFC9D16" w14:textId="77777777" w:rsidTr="002E43D9">
        <w:trPr>
          <w:trHeight w:val="289"/>
        </w:trPr>
        <w:tc>
          <w:tcPr>
            <w:tcW w:w="2880" w:type="dxa"/>
          </w:tcPr>
          <w:p w14:paraId="5474E578" w14:textId="77777777" w:rsidR="0075552D" w:rsidRDefault="0075552D" w:rsidP="0075552D">
            <w:pPr>
              <w:rPr>
                <w:b/>
              </w:rPr>
            </w:pPr>
            <w:r>
              <w:rPr>
                <w:b/>
              </w:rPr>
              <w:t>Consumer Protection Requirements</w:t>
            </w:r>
          </w:p>
        </w:tc>
        <w:tc>
          <w:tcPr>
            <w:tcW w:w="535" w:type="dxa"/>
          </w:tcPr>
          <w:p w14:paraId="23941126" w14:textId="70B05B3A" w:rsidR="0075552D" w:rsidRDefault="0075552D" w:rsidP="0075552D">
            <w:r>
              <w:t>3</w:t>
            </w:r>
            <w:r w:rsidR="00C51833">
              <w:t>1</w:t>
            </w:r>
            <w:r>
              <w:t>.</w:t>
            </w:r>
          </w:p>
        </w:tc>
        <w:tc>
          <w:tcPr>
            <w:tcW w:w="488" w:type="dxa"/>
          </w:tcPr>
          <w:p w14:paraId="0262AF82" w14:textId="46457420" w:rsidR="0075552D" w:rsidRDefault="0075552D" w:rsidP="00101A38"/>
        </w:tc>
        <w:tc>
          <w:tcPr>
            <w:tcW w:w="592" w:type="dxa"/>
          </w:tcPr>
          <w:p w14:paraId="1EF3B365" w14:textId="77777777" w:rsidR="0075552D" w:rsidRDefault="0075552D" w:rsidP="0075552D">
            <w:pPr>
              <w:jc w:val="center"/>
            </w:pPr>
          </w:p>
        </w:tc>
        <w:tc>
          <w:tcPr>
            <w:tcW w:w="6308" w:type="dxa"/>
          </w:tcPr>
          <w:p w14:paraId="0635E0C5" w14:textId="19444AF9" w:rsidR="0075552D" w:rsidRDefault="0075552D" w:rsidP="0075552D">
            <w:r>
              <w:t xml:space="preserve">All </w:t>
            </w:r>
            <w:r w:rsidR="00EA514B">
              <w:t>S-</w:t>
            </w:r>
            <w:r>
              <w:t>VASPs shall be subject to the following:</w:t>
            </w:r>
            <w:r w:rsidR="00A861C2">
              <w:t xml:space="preserve"> </w:t>
            </w:r>
          </w:p>
        </w:tc>
      </w:tr>
      <w:tr w:rsidR="0075552D" w14:paraId="20EE72AA" w14:textId="77777777" w:rsidTr="002E43D9">
        <w:trPr>
          <w:trHeight w:val="289"/>
        </w:trPr>
        <w:tc>
          <w:tcPr>
            <w:tcW w:w="2880" w:type="dxa"/>
          </w:tcPr>
          <w:p w14:paraId="052345B0" w14:textId="77777777" w:rsidR="0075552D" w:rsidRDefault="0075552D" w:rsidP="0075552D"/>
        </w:tc>
        <w:tc>
          <w:tcPr>
            <w:tcW w:w="535" w:type="dxa"/>
          </w:tcPr>
          <w:p w14:paraId="35352B9B" w14:textId="77777777" w:rsidR="0075552D" w:rsidRDefault="0075552D" w:rsidP="0075552D"/>
        </w:tc>
        <w:tc>
          <w:tcPr>
            <w:tcW w:w="488" w:type="dxa"/>
          </w:tcPr>
          <w:p w14:paraId="53D6BBC3" w14:textId="77777777" w:rsidR="0075552D" w:rsidRDefault="0075552D" w:rsidP="0075552D">
            <w:pPr>
              <w:jc w:val="center"/>
            </w:pPr>
          </w:p>
        </w:tc>
        <w:tc>
          <w:tcPr>
            <w:tcW w:w="592" w:type="dxa"/>
          </w:tcPr>
          <w:p w14:paraId="6FEE1B9A" w14:textId="77777777" w:rsidR="0075552D" w:rsidRDefault="0075552D" w:rsidP="0075552D">
            <w:pPr>
              <w:jc w:val="center"/>
            </w:pPr>
            <w:r>
              <w:t>I</w:t>
            </w:r>
          </w:p>
        </w:tc>
        <w:tc>
          <w:tcPr>
            <w:tcW w:w="6308" w:type="dxa"/>
          </w:tcPr>
          <w:p w14:paraId="1CA5D523" w14:textId="77777777" w:rsidR="0075552D" w:rsidRDefault="0075552D" w:rsidP="0075552D">
            <w:r>
              <w:t xml:space="preserve">Mandatory disclosures on token characteristics, risks, and price volatility. </w:t>
            </w:r>
          </w:p>
        </w:tc>
      </w:tr>
      <w:tr w:rsidR="0075552D" w14:paraId="3C7D891B" w14:textId="77777777" w:rsidTr="002E43D9">
        <w:trPr>
          <w:trHeight w:val="289"/>
        </w:trPr>
        <w:tc>
          <w:tcPr>
            <w:tcW w:w="2880" w:type="dxa"/>
          </w:tcPr>
          <w:p w14:paraId="76B19A27" w14:textId="77777777" w:rsidR="0075552D" w:rsidRDefault="0075552D" w:rsidP="0075552D"/>
        </w:tc>
        <w:tc>
          <w:tcPr>
            <w:tcW w:w="535" w:type="dxa"/>
          </w:tcPr>
          <w:p w14:paraId="1673C56E" w14:textId="77777777" w:rsidR="0075552D" w:rsidRDefault="0075552D" w:rsidP="0075552D"/>
        </w:tc>
        <w:tc>
          <w:tcPr>
            <w:tcW w:w="488" w:type="dxa"/>
          </w:tcPr>
          <w:p w14:paraId="7269B8CB" w14:textId="77777777" w:rsidR="0075552D" w:rsidRDefault="0075552D" w:rsidP="0075552D">
            <w:pPr>
              <w:jc w:val="center"/>
            </w:pPr>
          </w:p>
        </w:tc>
        <w:tc>
          <w:tcPr>
            <w:tcW w:w="592" w:type="dxa"/>
          </w:tcPr>
          <w:p w14:paraId="5CE3278D" w14:textId="77777777" w:rsidR="0075552D" w:rsidRDefault="0075552D" w:rsidP="0075552D">
            <w:pPr>
              <w:jc w:val="center"/>
            </w:pPr>
            <w:r>
              <w:t>II</w:t>
            </w:r>
          </w:p>
        </w:tc>
        <w:tc>
          <w:tcPr>
            <w:tcW w:w="6308" w:type="dxa"/>
          </w:tcPr>
          <w:p w14:paraId="117123F8" w14:textId="77777777" w:rsidR="0075552D" w:rsidRDefault="0075552D" w:rsidP="0075552D">
            <w:r>
              <w:t>Transparent pricing, fees, and loss warnings.</w:t>
            </w:r>
          </w:p>
        </w:tc>
      </w:tr>
      <w:tr w:rsidR="0075552D" w14:paraId="1546129E" w14:textId="77777777" w:rsidTr="002E43D9">
        <w:trPr>
          <w:trHeight w:val="289"/>
        </w:trPr>
        <w:tc>
          <w:tcPr>
            <w:tcW w:w="2880" w:type="dxa"/>
          </w:tcPr>
          <w:p w14:paraId="3701AA80" w14:textId="77777777" w:rsidR="0075552D" w:rsidRDefault="0075552D" w:rsidP="0075552D"/>
        </w:tc>
        <w:tc>
          <w:tcPr>
            <w:tcW w:w="535" w:type="dxa"/>
          </w:tcPr>
          <w:p w14:paraId="55F6B43C" w14:textId="77777777" w:rsidR="0075552D" w:rsidRDefault="0075552D" w:rsidP="0075552D"/>
        </w:tc>
        <w:tc>
          <w:tcPr>
            <w:tcW w:w="488" w:type="dxa"/>
          </w:tcPr>
          <w:p w14:paraId="746D436D" w14:textId="77777777" w:rsidR="0075552D" w:rsidRDefault="0075552D" w:rsidP="0075552D">
            <w:pPr>
              <w:jc w:val="center"/>
            </w:pPr>
          </w:p>
        </w:tc>
        <w:tc>
          <w:tcPr>
            <w:tcW w:w="592" w:type="dxa"/>
          </w:tcPr>
          <w:p w14:paraId="1EC0A070" w14:textId="77777777" w:rsidR="0075552D" w:rsidRDefault="0075552D" w:rsidP="0075552D">
            <w:pPr>
              <w:jc w:val="center"/>
            </w:pPr>
            <w:r>
              <w:t>III</w:t>
            </w:r>
          </w:p>
        </w:tc>
        <w:tc>
          <w:tcPr>
            <w:tcW w:w="6308" w:type="dxa"/>
          </w:tcPr>
          <w:p w14:paraId="5ED7BBA2" w14:textId="77777777" w:rsidR="0075552D" w:rsidRDefault="0075552D" w:rsidP="0075552D">
            <w:r>
              <w:t>Establish a centralized complaints portal to handle consumer grievances and ensure timely redressal.</w:t>
            </w:r>
          </w:p>
        </w:tc>
      </w:tr>
      <w:tr w:rsidR="0075552D" w14:paraId="1F88A68F" w14:textId="77777777" w:rsidTr="002E43D9">
        <w:trPr>
          <w:trHeight w:val="289"/>
        </w:trPr>
        <w:tc>
          <w:tcPr>
            <w:tcW w:w="2880" w:type="dxa"/>
          </w:tcPr>
          <w:p w14:paraId="3C44E5EE" w14:textId="77777777" w:rsidR="0075552D" w:rsidRDefault="0075552D" w:rsidP="0075552D"/>
        </w:tc>
        <w:tc>
          <w:tcPr>
            <w:tcW w:w="535" w:type="dxa"/>
          </w:tcPr>
          <w:p w14:paraId="3A35AD95" w14:textId="77777777" w:rsidR="0075552D" w:rsidRDefault="0075552D" w:rsidP="0075552D"/>
        </w:tc>
        <w:tc>
          <w:tcPr>
            <w:tcW w:w="488" w:type="dxa"/>
          </w:tcPr>
          <w:p w14:paraId="385109F7" w14:textId="77777777" w:rsidR="0075552D" w:rsidRDefault="0075552D" w:rsidP="0075552D">
            <w:pPr>
              <w:jc w:val="center"/>
            </w:pPr>
          </w:p>
        </w:tc>
        <w:tc>
          <w:tcPr>
            <w:tcW w:w="592" w:type="dxa"/>
          </w:tcPr>
          <w:p w14:paraId="17F82498" w14:textId="77777777" w:rsidR="0075552D" w:rsidRDefault="0075552D" w:rsidP="0075552D">
            <w:pPr>
              <w:jc w:val="center"/>
            </w:pPr>
            <w:r>
              <w:t>IV</w:t>
            </w:r>
          </w:p>
        </w:tc>
        <w:tc>
          <w:tcPr>
            <w:tcW w:w="6308" w:type="dxa"/>
          </w:tcPr>
          <w:p w14:paraId="25A0A939" w14:textId="77777777" w:rsidR="0075552D" w:rsidRDefault="0075552D" w:rsidP="0075552D">
            <w:r>
              <w:t>Implement user education programs on the risks of virtual asset investments.</w:t>
            </w:r>
          </w:p>
        </w:tc>
      </w:tr>
      <w:tr w:rsidR="0075552D" w14:paraId="22D1EECA" w14:textId="77777777" w:rsidTr="002E43D9">
        <w:trPr>
          <w:trHeight w:val="289"/>
        </w:trPr>
        <w:tc>
          <w:tcPr>
            <w:tcW w:w="2880" w:type="dxa"/>
          </w:tcPr>
          <w:p w14:paraId="586A6DED" w14:textId="77777777" w:rsidR="0075552D" w:rsidRDefault="0075552D" w:rsidP="0075552D">
            <w:pPr>
              <w:rPr>
                <w:b/>
              </w:rPr>
            </w:pPr>
            <w:r>
              <w:rPr>
                <w:b/>
              </w:rPr>
              <w:t>Cybersecurity and Operational Resilience</w:t>
            </w:r>
          </w:p>
        </w:tc>
        <w:tc>
          <w:tcPr>
            <w:tcW w:w="535" w:type="dxa"/>
          </w:tcPr>
          <w:p w14:paraId="0607FCDC" w14:textId="3A83AA98" w:rsidR="0075552D" w:rsidRDefault="0075552D" w:rsidP="0075552D">
            <w:r>
              <w:t>3</w:t>
            </w:r>
            <w:r w:rsidR="00C51833">
              <w:t>2</w:t>
            </w:r>
            <w:r>
              <w:t>.</w:t>
            </w:r>
          </w:p>
        </w:tc>
        <w:tc>
          <w:tcPr>
            <w:tcW w:w="488" w:type="dxa"/>
          </w:tcPr>
          <w:p w14:paraId="7B7C3CA4" w14:textId="2A7CA7A2" w:rsidR="0075552D" w:rsidRDefault="0075552D" w:rsidP="0075552D">
            <w:pPr>
              <w:jc w:val="center"/>
            </w:pPr>
          </w:p>
        </w:tc>
        <w:tc>
          <w:tcPr>
            <w:tcW w:w="592" w:type="dxa"/>
          </w:tcPr>
          <w:p w14:paraId="682F4CAC" w14:textId="77777777" w:rsidR="0075552D" w:rsidRDefault="0075552D" w:rsidP="0075552D">
            <w:pPr>
              <w:jc w:val="center"/>
            </w:pPr>
          </w:p>
        </w:tc>
        <w:tc>
          <w:tcPr>
            <w:tcW w:w="6308" w:type="dxa"/>
          </w:tcPr>
          <w:p w14:paraId="799D4E4E" w14:textId="24477EE2" w:rsidR="0075552D" w:rsidRDefault="0075552D" w:rsidP="0075552D">
            <w:r>
              <w:t xml:space="preserve">All </w:t>
            </w:r>
            <w:r w:rsidR="00E447A8">
              <w:t>S-</w:t>
            </w:r>
            <w:r>
              <w:t>VASPs shall comply with minimum cybersecurity standards, including:</w:t>
            </w:r>
            <w:r w:rsidR="00EA3E67">
              <w:t xml:space="preserve"> </w:t>
            </w:r>
          </w:p>
        </w:tc>
      </w:tr>
      <w:tr w:rsidR="0075552D" w14:paraId="3D726093" w14:textId="77777777" w:rsidTr="002E43D9">
        <w:trPr>
          <w:trHeight w:val="289"/>
        </w:trPr>
        <w:tc>
          <w:tcPr>
            <w:tcW w:w="2880" w:type="dxa"/>
          </w:tcPr>
          <w:p w14:paraId="6AC276F3" w14:textId="77777777" w:rsidR="0075552D" w:rsidRDefault="0075552D" w:rsidP="0075552D"/>
        </w:tc>
        <w:tc>
          <w:tcPr>
            <w:tcW w:w="535" w:type="dxa"/>
          </w:tcPr>
          <w:p w14:paraId="415A31A0" w14:textId="77777777" w:rsidR="0075552D" w:rsidRDefault="0075552D" w:rsidP="0075552D"/>
        </w:tc>
        <w:tc>
          <w:tcPr>
            <w:tcW w:w="488" w:type="dxa"/>
          </w:tcPr>
          <w:p w14:paraId="3C2EAFCD" w14:textId="77777777" w:rsidR="0075552D" w:rsidRDefault="0075552D" w:rsidP="0075552D">
            <w:pPr>
              <w:jc w:val="center"/>
            </w:pPr>
          </w:p>
        </w:tc>
        <w:tc>
          <w:tcPr>
            <w:tcW w:w="592" w:type="dxa"/>
          </w:tcPr>
          <w:p w14:paraId="661B1BCB" w14:textId="77777777" w:rsidR="0075552D" w:rsidRDefault="0075552D" w:rsidP="0075552D">
            <w:pPr>
              <w:jc w:val="center"/>
            </w:pPr>
            <w:r>
              <w:t>I</w:t>
            </w:r>
          </w:p>
        </w:tc>
        <w:tc>
          <w:tcPr>
            <w:tcW w:w="6308" w:type="dxa"/>
          </w:tcPr>
          <w:p w14:paraId="39063029" w14:textId="77777777" w:rsidR="0075552D" w:rsidRDefault="0075552D" w:rsidP="0075552D">
            <w:r>
              <w:t>Regular vulnerability assessments;</w:t>
            </w:r>
          </w:p>
        </w:tc>
      </w:tr>
      <w:tr w:rsidR="0075552D" w14:paraId="0D99254E" w14:textId="77777777" w:rsidTr="002E43D9">
        <w:trPr>
          <w:trHeight w:val="289"/>
        </w:trPr>
        <w:tc>
          <w:tcPr>
            <w:tcW w:w="2880" w:type="dxa"/>
          </w:tcPr>
          <w:p w14:paraId="67EFAC69" w14:textId="77777777" w:rsidR="0075552D" w:rsidRDefault="0075552D" w:rsidP="0075552D"/>
        </w:tc>
        <w:tc>
          <w:tcPr>
            <w:tcW w:w="535" w:type="dxa"/>
          </w:tcPr>
          <w:p w14:paraId="70B61D25" w14:textId="77777777" w:rsidR="0075552D" w:rsidRDefault="0075552D" w:rsidP="0075552D"/>
        </w:tc>
        <w:tc>
          <w:tcPr>
            <w:tcW w:w="488" w:type="dxa"/>
          </w:tcPr>
          <w:p w14:paraId="15890EF4" w14:textId="77777777" w:rsidR="0075552D" w:rsidRDefault="0075552D" w:rsidP="0075552D">
            <w:pPr>
              <w:jc w:val="center"/>
            </w:pPr>
          </w:p>
        </w:tc>
        <w:tc>
          <w:tcPr>
            <w:tcW w:w="592" w:type="dxa"/>
          </w:tcPr>
          <w:p w14:paraId="460F5984" w14:textId="77777777" w:rsidR="0075552D" w:rsidRDefault="0075552D" w:rsidP="0075552D">
            <w:pPr>
              <w:jc w:val="center"/>
            </w:pPr>
            <w:r>
              <w:t>II</w:t>
            </w:r>
          </w:p>
        </w:tc>
        <w:tc>
          <w:tcPr>
            <w:tcW w:w="6308" w:type="dxa"/>
          </w:tcPr>
          <w:p w14:paraId="55EA039B" w14:textId="77777777" w:rsidR="0075552D" w:rsidRDefault="0075552D" w:rsidP="0075552D">
            <w:r>
              <w:t>Multi-factor authentication for client access;</w:t>
            </w:r>
          </w:p>
        </w:tc>
      </w:tr>
      <w:tr w:rsidR="0075552D" w14:paraId="01CF66B2" w14:textId="77777777" w:rsidTr="002E43D9">
        <w:trPr>
          <w:trHeight w:val="289"/>
        </w:trPr>
        <w:tc>
          <w:tcPr>
            <w:tcW w:w="2880" w:type="dxa"/>
          </w:tcPr>
          <w:p w14:paraId="4738EC90" w14:textId="77777777" w:rsidR="0075552D" w:rsidRDefault="0075552D" w:rsidP="0075552D"/>
        </w:tc>
        <w:tc>
          <w:tcPr>
            <w:tcW w:w="535" w:type="dxa"/>
          </w:tcPr>
          <w:p w14:paraId="6DD8383C" w14:textId="77777777" w:rsidR="0075552D" w:rsidRDefault="0075552D" w:rsidP="0075552D"/>
        </w:tc>
        <w:tc>
          <w:tcPr>
            <w:tcW w:w="488" w:type="dxa"/>
          </w:tcPr>
          <w:p w14:paraId="1AF25387" w14:textId="77777777" w:rsidR="0075552D" w:rsidRDefault="0075552D" w:rsidP="0075552D">
            <w:pPr>
              <w:jc w:val="center"/>
            </w:pPr>
          </w:p>
        </w:tc>
        <w:tc>
          <w:tcPr>
            <w:tcW w:w="592" w:type="dxa"/>
          </w:tcPr>
          <w:p w14:paraId="5D7B3417" w14:textId="77777777" w:rsidR="0075552D" w:rsidRDefault="0075552D" w:rsidP="0075552D">
            <w:pPr>
              <w:jc w:val="center"/>
            </w:pPr>
            <w:r>
              <w:t>III</w:t>
            </w:r>
          </w:p>
        </w:tc>
        <w:tc>
          <w:tcPr>
            <w:tcW w:w="6308" w:type="dxa"/>
          </w:tcPr>
          <w:p w14:paraId="5A8A2C39" w14:textId="77777777" w:rsidR="0075552D" w:rsidRDefault="0075552D" w:rsidP="0075552D">
            <w:r>
              <w:t>Prompt incident reporting to the Authority within 24 hours of material breaches.</w:t>
            </w:r>
          </w:p>
        </w:tc>
      </w:tr>
      <w:tr w:rsidR="0075552D" w14:paraId="65ED68FD" w14:textId="77777777" w:rsidTr="002E43D9">
        <w:trPr>
          <w:trHeight w:val="289"/>
        </w:trPr>
        <w:tc>
          <w:tcPr>
            <w:tcW w:w="2880" w:type="dxa"/>
          </w:tcPr>
          <w:p w14:paraId="0CA361EE" w14:textId="77777777" w:rsidR="0075552D" w:rsidRDefault="0075552D" w:rsidP="0075552D"/>
        </w:tc>
        <w:tc>
          <w:tcPr>
            <w:tcW w:w="535" w:type="dxa"/>
          </w:tcPr>
          <w:p w14:paraId="72F0A1D4" w14:textId="77777777" w:rsidR="0075552D" w:rsidRDefault="0075552D" w:rsidP="0075552D"/>
        </w:tc>
        <w:tc>
          <w:tcPr>
            <w:tcW w:w="488" w:type="dxa"/>
          </w:tcPr>
          <w:p w14:paraId="147D45F5" w14:textId="77777777" w:rsidR="0075552D" w:rsidRDefault="0075552D" w:rsidP="0075552D">
            <w:pPr>
              <w:jc w:val="center"/>
            </w:pPr>
          </w:p>
        </w:tc>
        <w:tc>
          <w:tcPr>
            <w:tcW w:w="592" w:type="dxa"/>
          </w:tcPr>
          <w:p w14:paraId="24F18D9D" w14:textId="77777777" w:rsidR="0075552D" w:rsidRDefault="0075552D" w:rsidP="0075552D">
            <w:pPr>
              <w:jc w:val="center"/>
            </w:pPr>
            <w:r>
              <w:t>IV</w:t>
            </w:r>
          </w:p>
        </w:tc>
        <w:tc>
          <w:tcPr>
            <w:tcW w:w="6308" w:type="dxa"/>
          </w:tcPr>
          <w:p w14:paraId="61D2900F" w14:textId="77777777" w:rsidR="0075552D" w:rsidRDefault="0075552D" w:rsidP="0075552D">
            <w:r>
              <w:t xml:space="preserve">Conduct </w:t>
            </w:r>
            <w:r w:rsidRPr="00584017">
              <w:rPr>
                <w:bCs/>
              </w:rPr>
              <w:t>annual penetration tests</w:t>
            </w:r>
            <w:r>
              <w:t xml:space="preserve"> by an independent auditor;</w:t>
            </w:r>
          </w:p>
        </w:tc>
      </w:tr>
      <w:tr w:rsidR="0075552D" w14:paraId="44AD7B5B" w14:textId="77777777" w:rsidTr="002E43D9">
        <w:trPr>
          <w:trHeight w:val="289"/>
        </w:trPr>
        <w:tc>
          <w:tcPr>
            <w:tcW w:w="2880" w:type="dxa"/>
          </w:tcPr>
          <w:p w14:paraId="5FE18E12" w14:textId="77777777" w:rsidR="0075552D" w:rsidRDefault="0075552D" w:rsidP="0075552D"/>
        </w:tc>
        <w:tc>
          <w:tcPr>
            <w:tcW w:w="535" w:type="dxa"/>
          </w:tcPr>
          <w:p w14:paraId="6B143269" w14:textId="77777777" w:rsidR="0075552D" w:rsidRDefault="0075552D" w:rsidP="0075552D"/>
        </w:tc>
        <w:tc>
          <w:tcPr>
            <w:tcW w:w="488" w:type="dxa"/>
          </w:tcPr>
          <w:p w14:paraId="00DED93D" w14:textId="77777777" w:rsidR="0075552D" w:rsidRDefault="0075552D" w:rsidP="0075552D">
            <w:pPr>
              <w:jc w:val="center"/>
            </w:pPr>
          </w:p>
        </w:tc>
        <w:tc>
          <w:tcPr>
            <w:tcW w:w="592" w:type="dxa"/>
          </w:tcPr>
          <w:p w14:paraId="0040ACA4" w14:textId="77777777" w:rsidR="0075552D" w:rsidRDefault="0075552D" w:rsidP="0075552D">
            <w:pPr>
              <w:jc w:val="center"/>
            </w:pPr>
            <w:r>
              <w:t>V</w:t>
            </w:r>
          </w:p>
        </w:tc>
        <w:tc>
          <w:tcPr>
            <w:tcW w:w="6308" w:type="dxa"/>
          </w:tcPr>
          <w:p w14:paraId="4C2BBAE3" w14:textId="77777777" w:rsidR="0075552D" w:rsidRDefault="0075552D" w:rsidP="0075552D">
            <w:r>
              <w:t xml:space="preserve">Maintain cybersecurity controls </w:t>
            </w:r>
            <w:r w:rsidRPr="00D43BCF">
              <w:rPr>
                <w:bCs/>
              </w:rPr>
              <w:t>aligned with ISO/IEC 27001</w:t>
            </w:r>
            <w:r>
              <w:t xml:space="preserve"> or equivalent standards.</w:t>
            </w:r>
          </w:p>
        </w:tc>
      </w:tr>
      <w:tr w:rsidR="0075552D" w14:paraId="47BBEA44" w14:textId="77777777" w:rsidTr="002E43D9">
        <w:trPr>
          <w:trHeight w:val="289"/>
        </w:trPr>
        <w:tc>
          <w:tcPr>
            <w:tcW w:w="2880" w:type="dxa"/>
          </w:tcPr>
          <w:p w14:paraId="4E621AD0" w14:textId="77777777" w:rsidR="0075552D" w:rsidRDefault="0075552D" w:rsidP="0075552D">
            <w:r>
              <w:rPr>
                <w:b/>
              </w:rPr>
              <w:lastRenderedPageBreak/>
              <w:t>Market Conduct and Prohibited Practices</w:t>
            </w:r>
          </w:p>
        </w:tc>
        <w:tc>
          <w:tcPr>
            <w:tcW w:w="535" w:type="dxa"/>
          </w:tcPr>
          <w:p w14:paraId="24AB85B7" w14:textId="6D43D38D" w:rsidR="0075552D" w:rsidRDefault="0075552D" w:rsidP="0075552D">
            <w:r>
              <w:t>3</w:t>
            </w:r>
            <w:r w:rsidR="00862942">
              <w:t>3</w:t>
            </w:r>
            <w:r>
              <w:t>.</w:t>
            </w:r>
          </w:p>
        </w:tc>
        <w:tc>
          <w:tcPr>
            <w:tcW w:w="488" w:type="dxa"/>
          </w:tcPr>
          <w:p w14:paraId="63358363" w14:textId="77777777" w:rsidR="0075552D" w:rsidRDefault="0075552D" w:rsidP="0075552D">
            <w:pPr>
              <w:jc w:val="center"/>
            </w:pPr>
            <w:r>
              <w:t>(a)</w:t>
            </w:r>
          </w:p>
        </w:tc>
        <w:tc>
          <w:tcPr>
            <w:tcW w:w="592" w:type="dxa"/>
          </w:tcPr>
          <w:p w14:paraId="16FE58DD" w14:textId="77777777" w:rsidR="0075552D" w:rsidRDefault="0075552D" w:rsidP="0075552D">
            <w:pPr>
              <w:jc w:val="center"/>
            </w:pPr>
          </w:p>
        </w:tc>
        <w:tc>
          <w:tcPr>
            <w:tcW w:w="6308" w:type="dxa"/>
          </w:tcPr>
          <w:p w14:paraId="36A3DF57" w14:textId="070BAF00" w:rsidR="0075552D" w:rsidRDefault="0075552D" w:rsidP="0075552D">
            <w:proofErr w:type="gramStart"/>
            <w:r>
              <w:t xml:space="preserve">A </w:t>
            </w:r>
            <w:r w:rsidR="00984E52">
              <w:t>S</w:t>
            </w:r>
            <w:proofErr w:type="gramEnd"/>
            <w:r w:rsidR="00984E52">
              <w:t>-</w:t>
            </w:r>
            <w:r>
              <w:t>VASP and any person acting on its behalf shall at all times conduct virtual asset activities with integrity, fairness, and in the best interest of clients;</w:t>
            </w:r>
          </w:p>
        </w:tc>
      </w:tr>
      <w:tr w:rsidR="0075552D" w14:paraId="723AC96C" w14:textId="77777777" w:rsidTr="002E43D9">
        <w:trPr>
          <w:trHeight w:val="289"/>
        </w:trPr>
        <w:tc>
          <w:tcPr>
            <w:tcW w:w="2880" w:type="dxa"/>
          </w:tcPr>
          <w:p w14:paraId="0F170E7E" w14:textId="77777777" w:rsidR="0075552D" w:rsidRDefault="0075552D" w:rsidP="0075552D"/>
        </w:tc>
        <w:tc>
          <w:tcPr>
            <w:tcW w:w="535" w:type="dxa"/>
          </w:tcPr>
          <w:p w14:paraId="0293BECF" w14:textId="77777777" w:rsidR="0075552D" w:rsidRDefault="0075552D" w:rsidP="0075552D"/>
        </w:tc>
        <w:tc>
          <w:tcPr>
            <w:tcW w:w="488" w:type="dxa"/>
          </w:tcPr>
          <w:p w14:paraId="790BC62A" w14:textId="77777777" w:rsidR="0075552D" w:rsidRDefault="0075552D" w:rsidP="0075552D">
            <w:pPr>
              <w:jc w:val="center"/>
            </w:pPr>
            <w:r>
              <w:t>(b)</w:t>
            </w:r>
          </w:p>
        </w:tc>
        <w:tc>
          <w:tcPr>
            <w:tcW w:w="592" w:type="dxa"/>
          </w:tcPr>
          <w:p w14:paraId="53BE3797" w14:textId="77777777" w:rsidR="0075552D" w:rsidRDefault="0075552D" w:rsidP="0075552D">
            <w:pPr>
              <w:jc w:val="center"/>
            </w:pPr>
          </w:p>
        </w:tc>
        <w:tc>
          <w:tcPr>
            <w:tcW w:w="6308" w:type="dxa"/>
          </w:tcPr>
          <w:p w14:paraId="43676FDA" w14:textId="318ED859" w:rsidR="0075552D" w:rsidRDefault="0075552D" w:rsidP="0075552D">
            <w:r>
              <w:t xml:space="preserve">A </w:t>
            </w:r>
            <w:r w:rsidR="00311023">
              <w:t>S-</w:t>
            </w:r>
            <w:r>
              <w:t>VASP, its employees, directors, or affiliates shall not, directly or indirectly:</w:t>
            </w:r>
          </w:p>
        </w:tc>
      </w:tr>
      <w:tr w:rsidR="0075552D" w14:paraId="51990160" w14:textId="77777777" w:rsidTr="002E43D9">
        <w:trPr>
          <w:trHeight w:val="289"/>
        </w:trPr>
        <w:tc>
          <w:tcPr>
            <w:tcW w:w="2880" w:type="dxa"/>
          </w:tcPr>
          <w:p w14:paraId="544E1C29" w14:textId="77777777" w:rsidR="0075552D" w:rsidRDefault="0075552D" w:rsidP="0075552D"/>
        </w:tc>
        <w:tc>
          <w:tcPr>
            <w:tcW w:w="535" w:type="dxa"/>
          </w:tcPr>
          <w:p w14:paraId="539B2856" w14:textId="77777777" w:rsidR="0075552D" w:rsidRDefault="0075552D" w:rsidP="0075552D"/>
        </w:tc>
        <w:tc>
          <w:tcPr>
            <w:tcW w:w="488" w:type="dxa"/>
          </w:tcPr>
          <w:p w14:paraId="0267441C" w14:textId="77777777" w:rsidR="0075552D" w:rsidRDefault="0075552D" w:rsidP="0075552D">
            <w:pPr>
              <w:jc w:val="center"/>
            </w:pPr>
          </w:p>
        </w:tc>
        <w:tc>
          <w:tcPr>
            <w:tcW w:w="592" w:type="dxa"/>
          </w:tcPr>
          <w:p w14:paraId="4EACA9FB" w14:textId="77777777" w:rsidR="0075552D" w:rsidRDefault="0075552D" w:rsidP="0075552D">
            <w:pPr>
              <w:jc w:val="center"/>
            </w:pPr>
            <w:r>
              <w:t>I</w:t>
            </w:r>
          </w:p>
        </w:tc>
        <w:tc>
          <w:tcPr>
            <w:tcW w:w="6308" w:type="dxa"/>
          </w:tcPr>
          <w:p w14:paraId="5101EAC9" w14:textId="77777777" w:rsidR="0075552D" w:rsidRDefault="0075552D" w:rsidP="0075552D">
            <w:r>
              <w:t>Engage in any act, practice, or course of business that is fraudulent, deceptive, or manipulative;</w:t>
            </w:r>
          </w:p>
        </w:tc>
      </w:tr>
      <w:tr w:rsidR="0075552D" w14:paraId="67EF953E" w14:textId="77777777" w:rsidTr="002E43D9">
        <w:trPr>
          <w:trHeight w:val="289"/>
        </w:trPr>
        <w:tc>
          <w:tcPr>
            <w:tcW w:w="2880" w:type="dxa"/>
          </w:tcPr>
          <w:p w14:paraId="75D6B057" w14:textId="77777777" w:rsidR="0075552D" w:rsidRDefault="0075552D" w:rsidP="0075552D"/>
        </w:tc>
        <w:tc>
          <w:tcPr>
            <w:tcW w:w="535" w:type="dxa"/>
          </w:tcPr>
          <w:p w14:paraId="4837EC19" w14:textId="77777777" w:rsidR="0075552D" w:rsidRDefault="0075552D" w:rsidP="0075552D"/>
        </w:tc>
        <w:tc>
          <w:tcPr>
            <w:tcW w:w="488" w:type="dxa"/>
          </w:tcPr>
          <w:p w14:paraId="2469438A" w14:textId="77777777" w:rsidR="0075552D" w:rsidRDefault="0075552D" w:rsidP="0075552D">
            <w:pPr>
              <w:jc w:val="center"/>
            </w:pPr>
          </w:p>
        </w:tc>
        <w:tc>
          <w:tcPr>
            <w:tcW w:w="592" w:type="dxa"/>
          </w:tcPr>
          <w:p w14:paraId="7550D168" w14:textId="77777777" w:rsidR="0075552D" w:rsidRDefault="0075552D" w:rsidP="0075552D">
            <w:pPr>
              <w:jc w:val="center"/>
            </w:pPr>
            <w:r>
              <w:t>II</w:t>
            </w:r>
          </w:p>
        </w:tc>
        <w:tc>
          <w:tcPr>
            <w:tcW w:w="6308" w:type="dxa"/>
          </w:tcPr>
          <w:p w14:paraId="387E7F8A" w14:textId="77777777" w:rsidR="0075552D" w:rsidRDefault="0075552D" w:rsidP="0075552D">
            <w:r>
              <w:t>Make or disseminate any false or misleading statement in connection with the purchase, sale, or exchange of a virtual asset;</w:t>
            </w:r>
          </w:p>
        </w:tc>
      </w:tr>
      <w:tr w:rsidR="0075552D" w14:paraId="62526DB6" w14:textId="77777777" w:rsidTr="002E43D9">
        <w:trPr>
          <w:trHeight w:val="289"/>
        </w:trPr>
        <w:tc>
          <w:tcPr>
            <w:tcW w:w="2880" w:type="dxa"/>
          </w:tcPr>
          <w:p w14:paraId="6D3D49A2" w14:textId="77777777" w:rsidR="0075552D" w:rsidRDefault="0075552D" w:rsidP="0075552D"/>
        </w:tc>
        <w:tc>
          <w:tcPr>
            <w:tcW w:w="535" w:type="dxa"/>
          </w:tcPr>
          <w:p w14:paraId="633EAB15" w14:textId="77777777" w:rsidR="0075552D" w:rsidRDefault="0075552D" w:rsidP="0075552D"/>
        </w:tc>
        <w:tc>
          <w:tcPr>
            <w:tcW w:w="488" w:type="dxa"/>
          </w:tcPr>
          <w:p w14:paraId="76363FBC" w14:textId="77777777" w:rsidR="0075552D" w:rsidRDefault="0075552D" w:rsidP="0075552D">
            <w:pPr>
              <w:jc w:val="center"/>
            </w:pPr>
          </w:p>
        </w:tc>
        <w:tc>
          <w:tcPr>
            <w:tcW w:w="592" w:type="dxa"/>
          </w:tcPr>
          <w:p w14:paraId="1A37F9D9" w14:textId="77777777" w:rsidR="0075552D" w:rsidRDefault="0075552D" w:rsidP="0075552D">
            <w:pPr>
              <w:jc w:val="center"/>
            </w:pPr>
            <w:r>
              <w:t>III</w:t>
            </w:r>
          </w:p>
        </w:tc>
        <w:tc>
          <w:tcPr>
            <w:tcW w:w="6308" w:type="dxa"/>
          </w:tcPr>
          <w:p w14:paraId="7078B8B2" w14:textId="7FB324DF" w:rsidR="0075552D" w:rsidRDefault="0075552D" w:rsidP="0075552D">
            <w:r>
              <w:t>Engage in insider trading, front-running, wash trading, or market-manipulation practices;</w:t>
            </w:r>
          </w:p>
        </w:tc>
      </w:tr>
      <w:tr w:rsidR="0075552D" w14:paraId="41ECF816" w14:textId="77777777" w:rsidTr="002E43D9">
        <w:trPr>
          <w:trHeight w:val="289"/>
        </w:trPr>
        <w:tc>
          <w:tcPr>
            <w:tcW w:w="2880" w:type="dxa"/>
          </w:tcPr>
          <w:p w14:paraId="0F47D26F" w14:textId="77777777" w:rsidR="0075552D" w:rsidRDefault="0075552D" w:rsidP="0075552D"/>
        </w:tc>
        <w:tc>
          <w:tcPr>
            <w:tcW w:w="535" w:type="dxa"/>
          </w:tcPr>
          <w:p w14:paraId="5160B4B4" w14:textId="77777777" w:rsidR="0075552D" w:rsidRDefault="0075552D" w:rsidP="0075552D"/>
        </w:tc>
        <w:tc>
          <w:tcPr>
            <w:tcW w:w="488" w:type="dxa"/>
          </w:tcPr>
          <w:p w14:paraId="06014911" w14:textId="77777777" w:rsidR="0075552D" w:rsidRDefault="0075552D" w:rsidP="0075552D">
            <w:pPr>
              <w:jc w:val="center"/>
            </w:pPr>
          </w:p>
        </w:tc>
        <w:tc>
          <w:tcPr>
            <w:tcW w:w="592" w:type="dxa"/>
          </w:tcPr>
          <w:p w14:paraId="7A5CC553" w14:textId="77777777" w:rsidR="0075552D" w:rsidRDefault="0075552D" w:rsidP="0075552D">
            <w:pPr>
              <w:jc w:val="center"/>
            </w:pPr>
            <w:r>
              <w:t>IV</w:t>
            </w:r>
          </w:p>
        </w:tc>
        <w:tc>
          <w:tcPr>
            <w:tcW w:w="6308" w:type="dxa"/>
          </w:tcPr>
          <w:p w14:paraId="540AEB2D" w14:textId="77777777" w:rsidR="0075552D" w:rsidRDefault="0075552D" w:rsidP="0075552D">
            <w:r>
              <w:t>Misuse confidential client or proprietary information for personal or third-party gain.</w:t>
            </w:r>
          </w:p>
        </w:tc>
      </w:tr>
      <w:tr w:rsidR="0075552D" w14:paraId="15B72DCA" w14:textId="77777777" w:rsidTr="002E43D9">
        <w:trPr>
          <w:trHeight w:val="289"/>
        </w:trPr>
        <w:tc>
          <w:tcPr>
            <w:tcW w:w="2880" w:type="dxa"/>
          </w:tcPr>
          <w:p w14:paraId="3AF63C8F" w14:textId="77777777" w:rsidR="0075552D" w:rsidRDefault="0075552D" w:rsidP="0075552D"/>
        </w:tc>
        <w:tc>
          <w:tcPr>
            <w:tcW w:w="535" w:type="dxa"/>
          </w:tcPr>
          <w:p w14:paraId="137E0841" w14:textId="77777777" w:rsidR="0075552D" w:rsidRDefault="0075552D" w:rsidP="0075552D"/>
        </w:tc>
        <w:tc>
          <w:tcPr>
            <w:tcW w:w="488" w:type="dxa"/>
          </w:tcPr>
          <w:p w14:paraId="650F51F8" w14:textId="77777777" w:rsidR="0075552D" w:rsidRDefault="0075552D" w:rsidP="0075552D">
            <w:pPr>
              <w:jc w:val="center"/>
            </w:pPr>
            <w:r>
              <w:t>(c)</w:t>
            </w:r>
          </w:p>
        </w:tc>
        <w:tc>
          <w:tcPr>
            <w:tcW w:w="592" w:type="dxa"/>
          </w:tcPr>
          <w:p w14:paraId="17C88551" w14:textId="77777777" w:rsidR="0075552D" w:rsidRDefault="0075552D" w:rsidP="0075552D">
            <w:pPr>
              <w:jc w:val="center"/>
            </w:pPr>
          </w:p>
        </w:tc>
        <w:tc>
          <w:tcPr>
            <w:tcW w:w="6308" w:type="dxa"/>
          </w:tcPr>
          <w:p w14:paraId="02AF2F53" w14:textId="4F8D2938" w:rsidR="0075552D" w:rsidRDefault="0075552D" w:rsidP="0075552D">
            <w:r>
              <w:t xml:space="preserve">The Authority may issue guidelines specifying examples of prohibited market-conduct behaviors and the standards of fair dealing expected of </w:t>
            </w:r>
            <w:r w:rsidR="00E41BB5">
              <w:t>S-</w:t>
            </w:r>
            <w:r>
              <w:t>VASPs.</w:t>
            </w:r>
          </w:p>
        </w:tc>
      </w:tr>
      <w:tr w:rsidR="0075552D" w14:paraId="0C10E21A" w14:textId="77777777" w:rsidTr="002E43D9">
        <w:trPr>
          <w:trHeight w:val="289"/>
        </w:trPr>
        <w:tc>
          <w:tcPr>
            <w:tcW w:w="2880" w:type="dxa"/>
          </w:tcPr>
          <w:p w14:paraId="2F645F6D" w14:textId="77777777" w:rsidR="0075552D" w:rsidRDefault="0075552D" w:rsidP="0075552D"/>
        </w:tc>
        <w:tc>
          <w:tcPr>
            <w:tcW w:w="535" w:type="dxa"/>
          </w:tcPr>
          <w:p w14:paraId="38AD9631" w14:textId="77777777" w:rsidR="0075552D" w:rsidRDefault="0075552D" w:rsidP="0075552D"/>
        </w:tc>
        <w:tc>
          <w:tcPr>
            <w:tcW w:w="488" w:type="dxa"/>
          </w:tcPr>
          <w:p w14:paraId="7667951D" w14:textId="77777777" w:rsidR="0075552D" w:rsidRDefault="0075552D" w:rsidP="0075552D">
            <w:pPr>
              <w:jc w:val="center"/>
            </w:pPr>
            <w:r>
              <w:t>(d)</w:t>
            </w:r>
          </w:p>
        </w:tc>
        <w:tc>
          <w:tcPr>
            <w:tcW w:w="592" w:type="dxa"/>
          </w:tcPr>
          <w:p w14:paraId="7ED06607" w14:textId="77777777" w:rsidR="0075552D" w:rsidRDefault="0075552D" w:rsidP="0075552D">
            <w:pPr>
              <w:jc w:val="center"/>
            </w:pPr>
          </w:p>
        </w:tc>
        <w:tc>
          <w:tcPr>
            <w:tcW w:w="6308" w:type="dxa"/>
          </w:tcPr>
          <w:p w14:paraId="1BE71B59" w14:textId="0E1F08BE" w:rsidR="0075552D" w:rsidRDefault="0075552D" w:rsidP="0075552D">
            <w:r>
              <w:t xml:space="preserve">Any breach of this Article shall constitute a regulatory offence and may result in suspension, revocation, or administrative penalties as prescribed </w:t>
            </w:r>
            <w:r w:rsidRPr="00AF67BF">
              <w:t xml:space="preserve">under Article </w:t>
            </w:r>
            <w:r w:rsidR="00AF67BF" w:rsidRPr="00AF67BF">
              <w:t>36</w:t>
            </w:r>
            <w:r w:rsidRPr="00AF67BF">
              <w:t>.</w:t>
            </w:r>
          </w:p>
        </w:tc>
      </w:tr>
      <w:tr w:rsidR="0075552D" w14:paraId="30CB31B5" w14:textId="77777777" w:rsidTr="002E43D9">
        <w:trPr>
          <w:trHeight w:val="289"/>
        </w:trPr>
        <w:tc>
          <w:tcPr>
            <w:tcW w:w="2880" w:type="dxa"/>
          </w:tcPr>
          <w:p w14:paraId="7EBEBED5" w14:textId="77777777" w:rsidR="0075552D" w:rsidRDefault="0075552D" w:rsidP="0075552D">
            <w:r>
              <w:rPr>
                <w:b/>
              </w:rPr>
              <w:t>Conflict of Interest Policy</w:t>
            </w:r>
          </w:p>
        </w:tc>
        <w:tc>
          <w:tcPr>
            <w:tcW w:w="535" w:type="dxa"/>
          </w:tcPr>
          <w:p w14:paraId="76ABE4D7" w14:textId="23D2F0F5" w:rsidR="0075552D" w:rsidRDefault="0075552D" w:rsidP="0075552D">
            <w:r>
              <w:t>3</w:t>
            </w:r>
            <w:r w:rsidR="00BE5E22">
              <w:t>4</w:t>
            </w:r>
            <w:r>
              <w:t>.</w:t>
            </w:r>
          </w:p>
        </w:tc>
        <w:tc>
          <w:tcPr>
            <w:tcW w:w="488" w:type="dxa"/>
          </w:tcPr>
          <w:p w14:paraId="3B7708DD" w14:textId="77777777" w:rsidR="0075552D" w:rsidRDefault="0075552D" w:rsidP="0075552D">
            <w:pPr>
              <w:jc w:val="center"/>
            </w:pPr>
            <w:r>
              <w:t>(a)</w:t>
            </w:r>
          </w:p>
        </w:tc>
        <w:tc>
          <w:tcPr>
            <w:tcW w:w="592" w:type="dxa"/>
          </w:tcPr>
          <w:p w14:paraId="609BCA65" w14:textId="77777777" w:rsidR="0075552D" w:rsidRDefault="0075552D" w:rsidP="0075552D">
            <w:pPr>
              <w:jc w:val="center"/>
            </w:pPr>
          </w:p>
        </w:tc>
        <w:tc>
          <w:tcPr>
            <w:tcW w:w="6308" w:type="dxa"/>
          </w:tcPr>
          <w:p w14:paraId="53B062CD" w14:textId="66910AC0" w:rsidR="0075552D" w:rsidRDefault="0075552D" w:rsidP="0075552D">
            <w:r>
              <w:t xml:space="preserve">Every </w:t>
            </w:r>
            <w:r w:rsidR="00DD456D">
              <w:t>S-</w:t>
            </w:r>
            <w:r>
              <w:t>VASP shall maintain and implement a written conflict-of-interest policy approved by its Board of Directors.</w:t>
            </w:r>
          </w:p>
        </w:tc>
      </w:tr>
      <w:tr w:rsidR="0075552D" w14:paraId="6A5DB761" w14:textId="77777777" w:rsidTr="002E43D9">
        <w:trPr>
          <w:trHeight w:val="289"/>
        </w:trPr>
        <w:tc>
          <w:tcPr>
            <w:tcW w:w="2880" w:type="dxa"/>
          </w:tcPr>
          <w:p w14:paraId="7E3EC16B" w14:textId="77777777" w:rsidR="0075552D" w:rsidRDefault="0075552D" w:rsidP="0075552D"/>
        </w:tc>
        <w:tc>
          <w:tcPr>
            <w:tcW w:w="535" w:type="dxa"/>
          </w:tcPr>
          <w:p w14:paraId="488F2FD0" w14:textId="77777777" w:rsidR="0075552D" w:rsidRDefault="0075552D" w:rsidP="0075552D"/>
        </w:tc>
        <w:tc>
          <w:tcPr>
            <w:tcW w:w="488" w:type="dxa"/>
          </w:tcPr>
          <w:p w14:paraId="382A27D6" w14:textId="77777777" w:rsidR="0075552D" w:rsidRDefault="0075552D" w:rsidP="0075552D">
            <w:pPr>
              <w:jc w:val="center"/>
            </w:pPr>
            <w:r>
              <w:t>(b)</w:t>
            </w:r>
          </w:p>
        </w:tc>
        <w:tc>
          <w:tcPr>
            <w:tcW w:w="592" w:type="dxa"/>
          </w:tcPr>
          <w:p w14:paraId="44471E73" w14:textId="77777777" w:rsidR="0075552D" w:rsidRDefault="0075552D" w:rsidP="0075552D">
            <w:pPr>
              <w:jc w:val="center"/>
            </w:pPr>
          </w:p>
        </w:tc>
        <w:tc>
          <w:tcPr>
            <w:tcW w:w="6308" w:type="dxa"/>
          </w:tcPr>
          <w:p w14:paraId="7767F638" w14:textId="77777777" w:rsidR="0075552D" w:rsidRDefault="0075552D" w:rsidP="0075552D">
            <w:r>
              <w:t>The policy shall include procedures to—</w:t>
            </w:r>
          </w:p>
        </w:tc>
      </w:tr>
      <w:tr w:rsidR="0075552D" w14:paraId="4D8176B7" w14:textId="77777777" w:rsidTr="002E43D9">
        <w:trPr>
          <w:trHeight w:val="289"/>
        </w:trPr>
        <w:tc>
          <w:tcPr>
            <w:tcW w:w="2880" w:type="dxa"/>
          </w:tcPr>
          <w:p w14:paraId="2850F9F4" w14:textId="77777777" w:rsidR="0075552D" w:rsidRDefault="0075552D" w:rsidP="0075552D"/>
        </w:tc>
        <w:tc>
          <w:tcPr>
            <w:tcW w:w="535" w:type="dxa"/>
          </w:tcPr>
          <w:p w14:paraId="4591C6D4" w14:textId="77777777" w:rsidR="0075552D" w:rsidRDefault="0075552D" w:rsidP="0075552D"/>
        </w:tc>
        <w:tc>
          <w:tcPr>
            <w:tcW w:w="488" w:type="dxa"/>
          </w:tcPr>
          <w:p w14:paraId="04858DE8" w14:textId="77777777" w:rsidR="0075552D" w:rsidRDefault="0075552D" w:rsidP="0075552D">
            <w:pPr>
              <w:jc w:val="center"/>
            </w:pPr>
          </w:p>
        </w:tc>
        <w:tc>
          <w:tcPr>
            <w:tcW w:w="592" w:type="dxa"/>
          </w:tcPr>
          <w:p w14:paraId="12A1BD6C" w14:textId="77777777" w:rsidR="0075552D" w:rsidRDefault="0075552D" w:rsidP="0075552D">
            <w:pPr>
              <w:jc w:val="center"/>
            </w:pPr>
            <w:r>
              <w:t>I</w:t>
            </w:r>
          </w:p>
        </w:tc>
        <w:tc>
          <w:tcPr>
            <w:tcW w:w="6308" w:type="dxa"/>
          </w:tcPr>
          <w:p w14:paraId="61EC9E4A" w14:textId="4765CE9A" w:rsidR="0075552D" w:rsidRDefault="0075552D" w:rsidP="0075552D">
            <w:r>
              <w:t xml:space="preserve">identify, manage, and disclose actual or potential conflicts between </w:t>
            </w:r>
            <w:proofErr w:type="gramStart"/>
            <w:r>
              <w:t xml:space="preserve">the </w:t>
            </w:r>
            <w:r w:rsidR="0029325A">
              <w:t>S</w:t>
            </w:r>
            <w:proofErr w:type="gramEnd"/>
            <w:r w:rsidR="0029325A">
              <w:t>-</w:t>
            </w:r>
            <w:r>
              <w:t>VASP, its clients, and affiliated entities;</w:t>
            </w:r>
          </w:p>
        </w:tc>
      </w:tr>
      <w:tr w:rsidR="0075552D" w14:paraId="07EABC29" w14:textId="77777777" w:rsidTr="002E43D9">
        <w:trPr>
          <w:trHeight w:val="289"/>
        </w:trPr>
        <w:tc>
          <w:tcPr>
            <w:tcW w:w="2880" w:type="dxa"/>
          </w:tcPr>
          <w:p w14:paraId="7AB431A7" w14:textId="77777777" w:rsidR="0075552D" w:rsidRDefault="0075552D" w:rsidP="0075552D"/>
        </w:tc>
        <w:tc>
          <w:tcPr>
            <w:tcW w:w="535" w:type="dxa"/>
          </w:tcPr>
          <w:p w14:paraId="6DE1D870" w14:textId="77777777" w:rsidR="0075552D" w:rsidRDefault="0075552D" w:rsidP="0075552D"/>
        </w:tc>
        <w:tc>
          <w:tcPr>
            <w:tcW w:w="488" w:type="dxa"/>
          </w:tcPr>
          <w:p w14:paraId="0C393BCC" w14:textId="77777777" w:rsidR="0075552D" w:rsidRDefault="0075552D" w:rsidP="0075552D">
            <w:pPr>
              <w:jc w:val="center"/>
            </w:pPr>
          </w:p>
        </w:tc>
        <w:tc>
          <w:tcPr>
            <w:tcW w:w="592" w:type="dxa"/>
          </w:tcPr>
          <w:p w14:paraId="0AB7C55F" w14:textId="77777777" w:rsidR="0075552D" w:rsidRDefault="0075552D" w:rsidP="0075552D">
            <w:pPr>
              <w:jc w:val="center"/>
            </w:pPr>
            <w:r>
              <w:t>II</w:t>
            </w:r>
          </w:p>
        </w:tc>
        <w:tc>
          <w:tcPr>
            <w:tcW w:w="6308" w:type="dxa"/>
          </w:tcPr>
          <w:p w14:paraId="471B9332" w14:textId="77777777" w:rsidR="0075552D" w:rsidRDefault="0075552D" w:rsidP="0075552D">
            <w:r>
              <w:t>prohibit employees and officers from participating in transactions where conflicts cannot be effectively managed; and</w:t>
            </w:r>
          </w:p>
        </w:tc>
      </w:tr>
      <w:tr w:rsidR="0075552D" w14:paraId="6F60F979" w14:textId="77777777" w:rsidTr="002E43D9">
        <w:trPr>
          <w:trHeight w:val="289"/>
        </w:trPr>
        <w:tc>
          <w:tcPr>
            <w:tcW w:w="2880" w:type="dxa"/>
          </w:tcPr>
          <w:p w14:paraId="53411FF3" w14:textId="77777777" w:rsidR="0075552D" w:rsidRDefault="0075552D" w:rsidP="0075552D"/>
        </w:tc>
        <w:tc>
          <w:tcPr>
            <w:tcW w:w="535" w:type="dxa"/>
          </w:tcPr>
          <w:p w14:paraId="047389D1" w14:textId="77777777" w:rsidR="0075552D" w:rsidRDefault="0075552D" w:rsidP="0075552D"/>
        </w:tc>
        <w:tc>
          <w:tcPr>
            <w:tcW w:w="488" w:type="dxa"/>
          </w:tcPr>
          <w:p w14:paraId="5F7AD6EA" w14:textId="77777777" w:rsidR="0075552D" w:rsidRDefault="0075552D" w:rsidP="0075552D">
            <w:pPr>
              <w:jc w:val="center"/>
            </w:pPr>
          </w:p>
        </w:tc>
        <w:tc>
          <w:tcPr>
            <w:tcW w:w="592" w:type="dxa"/>
          </w:tcPr>
          <w:p w14:paraId="0693AD7F" w14:textId="77777777" w:rsidR="0075552D" w:rsidRDefault="0075552D" w:rsidP="0075552D">
            <w:pPr>
              <w:jc w:val="center"/>
            </w:pPr>
            <w:r>
              <w:t>III</w:t>
            </w:r>
          </w:p>
        </w:tc>
        <w:tc>
          <w:tcPr>
            <w:tcW w:w="6308" w:type="dxa"/>
          </w:tcPr>
          <w:p w14:paraId="6A73967C" w14:textId="77777777" w:rsidR="0075552D" w:rsidRDefault="0075552D" w:rsidP="0075552D">
            <w:r>
              <w:t>Ensure disclosure of any conflict to affected clients before execution of a transaction.</w:t>
            </w:r>
          </w:p>
        </w:tc>
      </w:tr>
      <w:tr w:rsidR="0075552D" w14:paraId="18DDB34E" w14:textId="77777777" w:rsidTr="002E43D9">
        <w:trPr>
          <w:trHeight w:val="289"/>
        </w:trPr>
        <w:tc>
          <w:tcPr>
            <w:tcW w:w="2880" w:type="dxa"/>
          </w:tcPr>
          <w:p w14:paraId="764F7C68" w14:textId="77777777" w:rsidR="0075552D" w:rsidRDefault="0075552D" w:rsidP="0075552D"/>
        </w:tc>
        <w:tc>
          <w:tcPr>
            <w:tcW w:w="535" w:type="dxa"/>
          </w:tcPr>
          <w:p w14:paraId="62649FE2" w14:textId="77777777" w:rsidR="0075552D" w:rsidRDefault="0075552D" w:rsidP="0075552D"/>
        </w:tc>
        <w:tc>
          <w:tcPr>
            <w:tcW w:w="488" w:type="dxa"/>
          </w:tcPr>
          <w:p w14:paraId="495695EA" w14:textId="77777777" w:rsidR="0075552D" w:rsidRDefault="0075552D" w:rsidP="0075552D">
            <w:pPr>
              <w:jc w:val="center"/>
            </w:pPr>
            <w:r>
              <w:t>(c)</w:t>
            </w:r>
          </w:p>
        </w:tc>
        <w:tc>
          <w:tcPr>
            <w:tcW w:w="592" w:type="dxa"/>
          </w:tcPr>
          <w:p w14:paraId="19C212AB" w14:textId="77777777" w:rsidR="0075552D" w:rsidRDefault="0075552D" w:rsidP="0075552D">
            <w:pPr>
              <w:jc w:val="center"/>
            </w:pPr>
          </w:p>
        </w:tc>
        <w:tc>
          <w:tcPr>
            <w:tcW w:w="6308" w:type="dxa"/>
          </w:tcPr>
          <w:p w14:paraId="4552E9BC" w14:textId="1402AB35" w:rsidR="0075552D" w:rsidRDefault="00B151A1" w:rsidP="0075552D">
            <w:r>
              <w:t xml:space="preserve">A S-VASP shall, upon the request of the Authority, promptly submit its Conflict of Interest Policy and all associated documentation and records. </w:t>
            </w:r>
            <w:proofErr w:type="gramStart"/>
            <w:r>
              <w:t>The S</w:t>
            </w:r>
            <w:proofErr w:type="gramEnd"/>
            <w:r>
              <w:t xml:space="preserve">-VASP shall be obligated to implement </w:t>
            </w:r>
            <w:r w:rsidRPr="00B151A1">
              <w:t>any revisions or modifications to the Policy that the Authority, in its discretion, deems necessary</w:t>
            </w:r>
            <w:r>
              <w:t xml:space="preserve"> for proper regulatory compliance.</w:t>
            </w:r>
          </w:p>
        </w:tc>
      </w:tr>
      <w:tr w:rsidR="0075552D" w14:paraId="23D72D20" w14:textId="77777777" w:rsidTr="002E43D9">
        <w:trPr>
          <w:trHeight w:val="289"/>
        </w:trPr>
        <w:tc>
          <w:tcPr>
            <w:tcW w:w="10803" w:type="dxa"/>
            <w:gridSpan w:val="5"/>
          </w:tcPr>
          <w:p w14:paraId="20850AA5" w14:textId="77777777" w:rsidR="00A249ED" w:rsidRDefault="00A249ED" w:rsidP="0075552D">
            <w:pPr>
              <w:jc w:val="center"/>
              <w:rPr>
                <w:b/>
                <w:sz w:val="28"/>
                <w:szCs w:val="28"/>
              </w:rPr>
            </w:pPr>
          </w:p>
          <w:p w14:paraId="3DF39F72" w14:textId="3258D639" w:rsidR="0075552D" w:rsidRDefault="0075552D" w:rsidP="0075552D">
            <w:pPr>
              <w:jc w:val="center"/>
              <w:rPr>
                <w:b/>
                <w:sz w:val="28"/>
                <w:szCs w:val="28"/>
              </w:rPr>
            </w:pPr>
            <w:r>
              <w:rPr>
                <w:b/>
                <w:sz w:val="28"/>
                <w:szCs w:val="28"/>
              </w:rPr>
              <w:t xml:space="preserve">Chapter </w:t>
            </w:r>
            <w:r w:rsidR="00AD7AE7">
              <w:rPr>
                <w:b/>
                <w:sz w:val="28"/>
                <w:szCs w:val="28"/>
              </w:rPr>
              <w:t>6</w:t>
            </w:r>
            <w:r>
              <w:rPr>
                <w:b/>
                <w:sz w:val="28"/>
                <w:szCs w:val="28"/>
              </w:rPr>
              <w:t>: Miscellaneous</w:t>
            </w:r>
          </w:p>
          <w:p w14:paraId="2BBA4433" w14:textId="4B0BD8B2" w:rsidR="00A249ED" w:rsidRDefault="00A249ED" w:rsidP="0075552D">
            <w:pPr>
              <w:jc w:val="center"/>
              <w:rPr>
                <w:b/>
                <w:sz w:val="28"/>
                <w:szCs w:val="28"/>
              </w:rPr>
            </w:pPr>
          </w:p>
        </w:tc>
      </w:tr>
      <w:tr w:rsidR="0075552D" w14:paraId="6FECC89C" w14:textId="77777777" w:rsidTr="002E43D9">
        <w:trPr>
          <w:trHeight w:val="289"/>
        </w:trPr>
        <w:tc>
          <w:tcPr>
            <w:tcW w:w="2880" w:type="dxa"/>
          </w:tcPr>
          <w:p w14:paraId="10EADAE0" w14:textId="77777777" w:rsidR="0075552D" w:rsidRDefault="0075552D" w:rsidP="0075552D">
            <w:pPr>
              <w:rPr>
                <w:b/>
              </w:rPr>
            </w:pPr>
            <w:r>
              <w:rPr>
                <w:b/>
              </w:rPr>
              <w:t>Supervisory Powers of the Authority:</w:t>
            </w:r>
          </w:p>
        </w:tc>
        <w:tc>
          <w:tcPr>
            <w:tcW w:w="535" w:type="dxa"/>
          </w:tcPr>
          <w:p w14:paraId="1CDB8A56" w14:textId="64CE6C11" w:rsidR="0075552D" w:rsidRDefault="0075552D" w:rsidP="0075552D">
            <w:r>
              <w:t>3</w:t>
            </w:r>
            <w:r w:rsidR="00B55517">
              <w:t>5</w:t>
            </w:r>
            <w:r>
              <w:t>.</w:t>
            </w:r>
          </w:p>
        </w:tc>
        <w:tc>
          <w:tcPr>
            <w:tcW w:w="488" w:type="dxa"/>
          </w:tcPr>
          <w:p w14:paraId="2D56B93E" w14:textId="54D5D6CD" w:rsidR="0075552D" w:rsidRDefault="0075552D" w:rsidP="0075552D">
            <w:pPr>
              <w:jc w:val="center"/>
            </w:pPr>
          </w:p>
        </w:tc>
        <w:tc>
          <w:tcPr>
            <w:tcW w:w="592" w:type="dxa"/>
          </w:tcPr>
          <w:p w14:paraId="730D5B9C" w14:textId="77777777" w:rsidR="0075552D" w:rsidRDefault="0075552D" w:rsidP="0075552D">
            <w:pPr>
              <w:jc w:val="center"/>
            </w:pPr>
          </w:p>
        </w:tc>
        <w:tc>
          <w:tcPr>
            <w:tcW w:w="6308" w:type="dxa"/>
          </w:tcPr>
          <w:p w14:paraId="62805293" w14:textId="77777777" w:rsidR="0075552D" w:rsidRDefault="0075552D" w:rsidP="0075552D">
            <w:r>
              <w:t>The Authority shall:</w:t>
            </w:r>
          </w:p>
        </w:tc>
      </w:tr>
      <w:tr w:rsidR="0075552D" w14:paraId="49500C96" w14:textId="77777777" w:rsidTr="002E43D9">
        <w:trPr>
          <w:trHeight w:val="289"/>
        </w:trPr>
        <w:tc>
          <w:tcPr>
            <w:tcW w:w="2880" w:type="dxa"/>
          </w:tcPr>
          <w:p w14:paraId="69D9087F" w14:textId="77777777" w:rsidR="0075552D" w:rsidRDefault="0075552D" w:rsidP="0075552D">
            <w:pPr>
              <w:rPr>
                <w:b/>
              </w:rPr>
            </w:pPr>
          </w:p>
        </w:tc>
        <w:tc>
          <w:tcPr>
            <w:tcW w:w="535" w:type="dxa"/>
          </w:tcPr>
          <w:p w14:paraId="4627EBD8" w14:textId="77777777" w:rsidR="0075552D" w:rsidRDefault="0075552D" w:rsidP="0075552D"/>
        </w:tc>
        <w:tc>
          <w:tcPr>
            <w:tcW w:w="488" w:type="dxa"/>
          </w:tcPr>
          <w:p w14:paraId="048F930A" w14:textId="77777777" w:rsidR="0075552D" w:rsidRDefault="0075552D" w:rsidP="0075552D">
            <w:pPr>
              <w:jc w:val="center"/>
            </w:pPr>
          </w:p>
        </w:tc>
        <w:tc>
          <w:tcPr>
            <w:tcW w:w="592" w:type="dxa"/>
          </w:tcPr>
          <w:p w14:paraId="1308AABF" w14:textId="77777777" w:rsidR="0075552D" w:rsidRDefault="0075552D" w:rsidP="0075552D">
            <w:pPr>
              <w:jc w:val="center"/>
            </w:pPr>
            <w:r>
              <w:t>I</w:t>
            </w:r>
          </w:p>
        </w:tc>
        <w:tc>
          <w:tcPr>
            <w:tcW w:w="6308" w:type="dxa"/>
          </w:tcPr>
          <w:p w14:paraId="4E8B1922" w14:textId="77777777" w:rsidR="0075552D" w:rsidRDefault="0075552D" w:rsidP="0075552D">
            <w:r>
              <w:t>Continuously monitor developments in virtual-asset markets and assess emerging risks</w:t>
            </w:r>
          </w:p>
        </w:tc>
      </w:tr>
      <w:tr w:rsidR="0075552D" w14:paraId="40C97706" w14:textId="77777777" w:rsidTr="002E43D9">
        <w:trPr>
          <w:trHeight w:val="289"/>
        </w:trPr>
        <w:tc>
          <w:tcPr>
            <w:tcW w:w="2880" w:type="dxa"/>
          </w:tcPr>
          <w:p w14:paraId="1EFFAB2A" w14:textId="77777777" w:rsidR="0075552D" w:rsidRDefault="0075552D" w:rsidP="0075552D">
            <w:pPr>
              <w:rPr>
                <w:b/>
              </w:rPr>
            </w:pPr>
          </w:p>
        </w:tc>
        <w:tc>
          <w:tcPr>
            <w:tcW w:w="535" w:type="dxa"/>
          </w:tcPr>
          <w:p w14:paraId="51562779" w14:textId="77777777" w:rsidR="0075552D" w:rsidRDefault="0075552D" w:rsidP="0075552D"/>
        </w:tc>
        <w:tc>
          <w:tcPr>
            <w:tcW w:w="488" w:type="dxa"/>
          </w:tcPr>
          <w:p w14:paraId="71353627" w14:textId="77777777" w:rsidR="0075552D" w:rsidRDefault="0075552D" w:rsidP="0075552D">
            <w:pPr>
              <w:jc w:val="center"/>
            </w:pPr>
          </w:p>
        </w:tc>
        <w:tc>
          <w:tcPr>
            <w:tcW w:w="592" w:type="dxa"/>
          </w:tcPr>
          <w:p w14:paraId="216B7746" w14:textId="77777777" w:rsidR="0075552D" w:rsidRDefault="0075552D" w:rsidP="0075552D">
            <w:pPr>
              <w:jc w:val="center"/>
            </w:pPr>
            <w:r>
              <w:t>II</w:t>
            </w:r>
          </w:p>
        </w:tc>
        <w:tc>
          <w:tcPr>
            <w:tcW w:w="6308" w:type="dxa"/>
          </w:tcPr>
          <w:p w14:paraId="32CB6AB5" w14:textId="77777777" w:rsidR="0075552D" w:rsidRDefault="0075552D" w:rsidP="0075552D">
            <w:r>
              <w:t>Issue circulars or guidance notes for interpretive direction.</w:t>
            </w:r>
          </w:p>
        </w:tc>
      </w:tr>
      <w:tr w:rsidR="0075552D" w14:paraId="35F1D0AB" w14:textId="77777777" w:rsidTr="002E43D9">
        <w:trPr>
          <w:trHeight w:val="289"/>
        </w:trPr>
        <w:tc>
          <w:tcPr>
            <w:tcW w:w="2880" w:type="dxa"/>
          </w:tcPr>
          <w:p w14:paraId="0BE7EFC8" w14:textId="77777777" w:rsidR="0075552D" w:rsidRDefault="0075552D" w:rsidP="0075552D">
            <w:pPr>
              <w:rPr>
                <w:b/>
              </w:rPr>
            </w:pPr>
          </w:p>
        </w:tc>
        <w:tc>
          <w:tcPr>
            <w:tcW w:w="535" w:type="dxa"/>
          </w:tcPr>
          <w:p w14:paraId="5BE693E3" w14:textId="77777777" w:rsidR="0075552D" w:rsidRDefault="0075552D" w:rsidP="0075552D"/>
        </w:tc>
        <w:tc>
          <w:tcPr>
            <w:tcW w:w="488" w:type="dxa"/>
          </w:tcPr>
          <w:p w14:paraId="37C44933" w14:textId="77777777" w:rsidR="0075552D" w:rsidRDefault="0075552D" w:rsidP="0075552D">
            <w:pPr>
              <w:jc w:val="center"/>
            </w:pPr>
          </w:p>
        </w:tc>
        <w:tc>
          <w:tcPr>
            <w:tcW w:w="592" w:type="dxa"/>
          </w:tcPr>
          <w:p w14:paraId="00390C49" w14:textId="77777777" w:rsidR="0075552D" w:rsidRDefault="0075552D" w:rsidP="0075552D">
            <w:pPr>
              <w:jc w:val="center"/>
            </w:pPr>
            <w:r>
              <w:t>III</w:t>
            </w:r>
          </w:p>
        </w:tc>
        <w:tc>
          <w:tcPr>
            <w:tcW w:w="6308" w:type="dxa"/>
          </w:tcPr>
          <w:p w14:paraId="27990F6F" w14:textId="77777777" w:rsidR="0075552D" w:rsidRDefault="0075552D" w:rsidP="0075552D">
            <w:r>
              <w:t>Coordinate with other competent authorities for harmonized supervision.</w:t>
            </w:r>
          </w:p>
        </w:tc>
      </w:tr>
      <w:tr w:rsidR="0075552D" w14:paraId="5A4C3285" w14:textId="77777777" w:rsidTr="002E43D9">
        <w:trPr>
          <w:trHeight w:val="289"/>
        </w:trPr>
        <w:tc>
          <w:tcPr>
            <w:tcW w:w="2880" w:type="dxa"/>
          </w:tcPr>
          <w:p w14:paraId="18DF12F4" w14:textId="77777777" w:rsidR="0075552D" w:rsidRDefault="0075552D" w:rsidP="0075552D">
            <w:pPr>
              <w:rPr>
                <w:b/>
              </w:rPr>
            </w:pPr>
          </w:p>
        </w:tc>
        <w:tc>
          <w:tcPr>
            <w:tcW w:w="535" w:type="dxa"/>
          </w:tcPr>
          <w:p w14:paraId="40E6E485" w14:textId="77777777" w:rsidR="0075552D" w:rsidRDefault="0075552D" w:rsidP="0075552D"/>
        </w:tc>
        <w:tc>
          <w:tcPr>
            <w:tcW w:w="488" w:type="dxa"/>
          </w:tcPr>
          <w:p w14:paraId="74D99FE6" w14:textId="77777777" w:rsidR="0075552D" w:rsidRDefault="0075552D" w:rsidP="0075552D">
            <w:pPr>
              <w:jc w:val="center"/>
            </w:pPr>
          </w:p>
        </w:tc>
        <w:tc>
          <w:tcPr>
            <w:tcW w:w="592" w:type="dxa"/>
          </w:tcPr>
          <w:p w14:paraId="5BD835BC" w14:textId="77777777" w:rsidR="0075552D" w:rsidRDefault="0075552D" w:rsidP="0075552D">
            <w:pPr>
              <w:jc w:val="center"/>
            </w:pPr>
            <w:r>
              <w:t>IV</w:t>
            </w:r>
          </w:p>
        </w:tc>
        <w:tc>
          <w:tcPr>
            <w:tcW w:w="6308" w:type="dxa"/>
          </w:tcPr>
          <w:p w14:paraId="10925ED1" w14:textId="77777777" w:rsidR="0075552D" w:rsidRDefault="0075552D" w:rsidP="0075552D">
            <w:r>
              <w:t>Publish annual summary reports on regulatory developments and enforcement actions.</w:t>
            </w:r>
          </w:p>
        </w:tc>
      </w:tr>
      <w:tr w:rsidR="0075552D" w14:paraId="2D728555" w14:textId="77777777" w:rsidTr="002E43D9">
        <w:trPr>
          <w:trHeight w:val="289"/>
        </w:trPr>
        <w:tc>
          <w:tcPr>
            <w:tcW w:w="2880" w:type="dxa"/>
          </w:tcPr>
          <w:p w14:paraId="383AF3CE" w14:textId="77777777" w:rsidR="0075552D" w:rsidRDefault="0075552D" w:rsidP="0075552D">
            <w:pPr>
              <w:rPr>
                <w:b/>
              </w:rPr>
            </w:pPr>
            <w:r>
              <w:rPr>
                <w:b/>
              </w:rPr>
              <w:t>Enforcement and Penalties</w:t>
            </w:r>
          </w:p>
          <w:p w14:paraId="48A7F75C" w14:textId="77777777" w:rsidR="0075552D" w:rsidRDefault="0075552D" w:rsidP="0075552D">
            <w:pPr>
              <w:rPr>
                <w:b/>
              </w:rPr>
            </w:pPr>
          </w:p>
        </w:tc>
        <w:tc>
          <w:tcPr>
            <w:tcW w:w="535" w:type="dxa"/>
          </w:tcPr>
          <w:p w14:paraId="6EC94FDF" w14:textId="29CBAC1A" w:rsidR="0075552D" w:rsidRDefault="0075552D" w:rsidP="0075552D">
            <w:r>
              <w:t>3</w:t>
            </w:r>
            <w:r w:rsidR="00E02A97">
              <w:t>6</w:t>
            </w:r>
            <w:r>
              <w:t>.</w:t>
            </w:r>
          </w:p>
        </w:tc>
        <w:tc>
          <w:tcPr>
            <w:tcW w:w="488" w:type="dxa"/>
          </w:tcPr>
          <w:p w14:paraId="3C0A1AD8" w14:textId="77777777" w:rsidR="0075552D" w:rsidRDefault="0075552D" w:rsidP="0075552D">
            <w:pPr>
              <w:jc w:val="center"/>
            </w:pPr>
            <w:r>
              <w:t>(a)</w:t>
            </w:r>
          </w:p>
        </w:tc>
        <w:tc>
          <w:tcPr>
            <w:tcW w:w="592" w:type="dxa"/>
          </w:tcPr>
          <w:p w14:paraId="6AB49B9F" w14:textId="77777777" w:rsidR="0075552D" w:rsidRDefault="0075552D" w:rsidP="0075552D">
            <w:pPr>
              <w:jc w:val="center"/>
            </w:pPr>
          </w:p>
        </w:tc>
        <w:tc>
          <w:tcPr>
            <w:tcW w:w="6308" w:type="dxa"/>
          </w:tcPr>
          <w:p w14:paraId="2DC303B8" w14:textId="77777777" w:rsidR="0075552D" w:rsidRDefault="0075552D" w:rsidP="0075552D">
            <w:r>
              <w:t>The Authority and the Competent Authorities shall have the power to:</w:t>
            </w:r>
          </w:p>
        </w:tc>
      </w:tr>
      <w:tr w:rsidR="0075552D" w14:paraId="18B397BC" w14:textId="77777777" w:rsidTr="002E43D9">
        <w:trPr>
          <w:trHeight w:val="289"/>
        </w:trPr>
        <w:tc>
          <w:tcPr>
            <w:tcW w:w="2880" w:type="dxa"/>
          </w:tcPr>
          <w:p w14:paraId="1D71DF67" w14:textId="77777777" w:rsidR="0075552D" w:rsidRDefault="0075552D" w:rsidP="0075552D">
            <w:pPr>
              <w:rPr>
                <w:b/>
              </w:rPr>
            </w:pPr>
          </w:p>
        </w:tc>
        <w:tc>
          <w:tcPr>
            <w:tcW w:w="535" w:type="dxa"/>
          </w:tcPr>
          <w:p w14:paraId="34943DDF" w14:textId="77777777" w:rsidR="0075552D" w:rsidRDefault="0075552D" w:rsidP="0075552D"/>
        </w:tc>
        <w:tc>
          <w:tcPr>
            <w:tcW w:w="488" w:type="dxa"/>
          </w:tcPr>
          <w:p w14:paraId="36166A7B" w14:textId="77777777" w:rsidR="0075552D" w:rsidRDefault="0075552D" w:rsidP="0075552D">
            <w:pPr>
              <w:jc w:val="center"/>
            </w:pPr>
          </w:p>
        </w:tc>
        <w:tc>
          <w:tcPr>
            <w:tcW w:w="592" w:type="dxa"/>
          </w:tcPr>
          <w:p w14:paraId="14FFBBB1" w14:textId="77777777" w:rsidR="0075552D" w:rsidRDefault="0075552D" w:rsidP="0075552D">
            <w:pPr>
              <w:jc w:val="center"/>
            </w:pPr>
            <w:r>
              <w:t>I</w:t>
            </w:r>
          </w:p>
        </w:tc>
        <w:tc>
          <w:tcPr>
            <w:tcW w:w="6308" w:type="dxa"/>
          </w:tcPr>
          <w:p w14:paraId="31D021F6" w14:textId="3CDA93BC" w:rsidR="0075552D" w:rsidRDefault="0075552D" w:rsidP="0075552D">
            <w:r>
              <w:t xml:space="preserve">conduct inspections, investigations, and supervisory reviews of any </w:t>
            </w:r>
            <w:r w:rsidR="00DB3E51">
              <w:t xml:space="preserve">Securities </w:t>
            </w:r>
            <w:r>
              <w:t>Virtual Asset Service Provider (</w:t>
            </w:r>
            <w:r w:rsidR="00DB3E51">
              <w:t>S-</w:t>
            </w:r>
            <w:r>
              <w:t xml:space="preserve">VASP) </w:t>
            </w:r>
            <w:r w:rsidR="00C13E28">
              <w:t>and</w:t>
            </w:r>
            <w:r>
              <w:t xml:space="preserve"> Virtual Asset Trading Platform (VATP);</w:t>
            </w:r>
          </w:p>
        </w:tc>
      </w:tr>
      <w:tr w:rsidR="0075552D" w14:paraId="408676BA" w14:textId="77777777" w:rsidTr="002E43D9">
        <w:trPr>
          <w:trHeight w:val="289"/>
        </w:trPr>
        <w:tc>
          <w:tcPr>
            <w:tcW w:w="2880" w:type="dxa"/>
          </w:tcPr>
          <w:p w14:paraId="3CD0D812" w14:textId="77777777" w:rsidR="0075552D" w:rsidRDefault="0075552D" w:rsidP="0075552D">
            <w:pPr>
              <w:rPr>
                <w:b/>
              </w:rPr>
            </w:pPr>
          </w:p>
        </w:tc>
        <w:tc>
          <w:tcPr>
            <w:tcW w:w="535" w:type="dxa"/>
          </w:tcPr>
          <w:p w14:paraId="32FDFD09" w14:textId="77777777" w:rsidR="0075552D" w:rsidRDefault="0075552D" w:rsidP="0075552D"/>
        </w:tc>
        <w:tc>
          <w:tcPr>
            <w:tcW w:w="488" w:type="dxa"/>
          </w:tcPr>
          <w:p w14:paraId="54E11B95" w14:textId="77777777" w:rsidR="0075552D" w:rsidRDefault="0075552D" w:rsidP="0075552D">
            <w:pPr>
              <w:jc w:val="center"/>
            </w:pPr>
          </w:p>
        </w:tc>
        <w:tc>
          <w:tcPr>
            <w:tcW w:w="592" w:type="dxa"/>
          </w:tcPr>
          <w:p w14:paraId="5AEC10BF" w14:textId="77777777" w:rsidR="0075552D" w:rsidRDefault="0075552D" w:rsidP="0075552D">
            <w:pPr>
              <w:jc w:val="center"/>
            </w:pPr>
            <w:r>
              <w:t>II</w:t>
            </w:r>
          </w:p>
        </w:tc>
        <w:tc>
          <w:tcPr>
            <w:tcW w:w="6308" w:type="dxa"/>
          </w:tcPr>
          <w:p w14:paraId="2D4B65A0" w14:textId="77777777" w:rsidR="0075552D" w:rsidRDefault="0075552D" w:rsidP="0075552D">
            <w:r>
              <w:t>require the production of records, documents, and information relating to any virtual asset activity;</w:t>
            </w:r>
          </w:p>
        </w:tc>
      </w:tr>
      <w:tr w:rsidR="0075552D" w14:paraId="2A46CA2F" w14:textId="77777777" w:rsidTr="002E43D9">
        <w:trPr>
          <w:trHeight w:val="289"/>
        </w:trPr>
        <w:tc>
          <w:tcPr>
            <w:tcW w:w="2880" w:type="dxa"/>
          </w:tcPr>
          <w:p w14:paraId="0185A1FA" w14:textId="77777777" w:rsidR="0075552D" w:rsidRDefault="0075552D" w:rsidP="0075552D">
            <w:pPr>
              <w:rPr>
                <w:b/>
              </w:rPr>
            </w:pPr>
          </w:p>
        </w:tc>
        <w:tc>
          <w:tcPr>
            <w:tcW w:w="535" w:type="dxa"/>
          </w:tcPr>
          <w:p w14:paraId="7EA3B694" w14:textId="77777777" w:rsidR="0075552D" w:rsidRDefault="0075552D" w:rsidP="0075552D"/>
        </w:tc>
        <w:tc>
          <w:tcPr>
            <w:tcW w:w="488" w:type="dxa"/>
          </w:tcPr>
          <w:p w14:paraId="69A045E6" w14:textId="77777777" w:rsidR="0075552D" w:rsidRDefault="0075552D" w:rsidP="0075552D">
            <w:pPr>
              <w:jc w:val="center"/>
            </w:pPr>
          </w:p>
        </w:tc>
        <w:tc>
          <w:tcPr>
            <w:tcW w:w="592" w:type="dxa"/>
          </w:tcPr>
          <w:p w14:paraId="44A670C8" w14:textId="77777777" w:rsidR="0075552D" w:rsidRDefault="0075552D" w:rsidP="0075552D">
            <w:pPr>
              <w:jc w:val="center"/>
            </w:pPr>
            <w:r>
              <w:t>III</w:t>
            </w:r>
          </w:p>
        </w:tc>
        <w:tc>
          <w:tcPr>
            <w:tcW w:w="6308" w:type="dxa"/>
          </w:tcPr>
          <w:p w14:paraId="40417588" w14:textId="77777777" w:rsidR="0075552D" w:rsidRDefault="0075552D" w:rsidP="0075552D">
            <w:r>
              <w:t>enter and inspect premises where virtual asset activities are carried out;</w:t>
            </w:r>
          </w:p>
        </w:tc>
      </w:tr>
      <w:tr w:rsidR="0075552D" w14:paraId="36CF4726" w14:textId="77777777" w:rsidTr="002E43D9">
        <w:trPr>
          <w:trHeight w:val="289"/>
        </w:trPr>
        <w:tc>
          <w:tcPr>
            <w:tcW w:w="2880" w:type="dxa"/>
          </w:tcPr>
          <w:p w14:paraId="78C73680" w14:textId="77777777" w:rsidR="0075552D" w:rsidRDefault="0075552D" w:rsidP="0075552D">
            <w:pPr>
              <w:rPr>
                <w:b/>
              </w:rPr>
            </w:pPr>
          </w:p>
        </w:tc>
        <w:tc>
          <w:tcPr>
            <w:tcW w:w="535" w:type="dxa"/>
          </w:tcPr>
          <w:p w14:paraId="0D82CD01" w14:textId="77777777" w:rsidR="0075552D" w:rsidRDefault="0075552D" w:rsidP="0075552D"/>
        </w:tc>
        <w:tc>
          <w:tcPr>
            <w:tcW w:w="488" w:type="dxa"/>
          </w:tcPr>
          <w:p w14:paraId="6DFF669E" w14:textId="77777777" w:rsidR="0075552D" w:rsidRDefault="0075552D" w:rsidP="0075552D">
            <w:pPr>
              <w:jc w:val="center"/>
            </w:pPr>
          </w:p>
        </w:tc>
        <w:tc>
          <w:tcPr>
            <w:tcW w:w="592" w:type="dxa"/>
          </w:tcPr>
          <w:p w14:paraId="7A10B1A2" w14:textId="77777777" w:rsidR="0075552D" w:rsidRDefault="0075552D" w:rsidP="0075552D">
            <w:pPr>
              <w:jc w:val="center"/>
            </w:pPr>
            <w:r>
              <w:t>IV</w:t>
            </w:r>
          </w:p>
        </w:tc>
        <w:tc>
          <w:tcPr>
            <w:tcW w:w="6308" w:type="dxa"/>
          </w:tcPr>
          <w:p w14:paraId="6D7B85F7" w14:textId="77777777" w:rsidR="0075552D" w:rsidRDefault="0075552D" w:rsidP="0075552D">
            <w:r>
              <w:t>suspend, revoke, or vary licenses and authorizations issued under this Regulation; and</w:t>
            </w:r>
          </w:p>
        </w:tc>
      </w:tr>
      <w:tr w:rsidR="0075552D" w14:paraId="60BBAA12" w14:textId="77777777" w:rsidTr="002E43D9">
        <w:trPr>
          <w:trHeight w:val="289"/>
        </w:trPr>
        <w:tc>
          <w:tcPr>
            <w:tcW w:w="2880" w:type="dxa"/>
          </w:tcPr>
          <w:p w14:paraId="48E93E5E" w14:textId="77777777" w:rsidR="0075552D" w:rsidRDefault="0075552D" w:rsidP="0075552D">
            <w:pPr>
              <w:rPr>
                <w:b/>
              </w:rPr>
            </w:pPr>
          </w:p>
        </w:tc>
        <w:tc>
          <w:tcPr>
            <w:tcW w:w="535" w:type="dxa"/>
          </w:tcPr>
          <w:p w14:paraId="370A7384" w14:textId="77777777" w:rsidR="0075552D" w:rsidRDefault="0075552D" w:rsidP="0075552D"/>
        </w:tc>
        <w:tc>
          <w:tcPr>
            <w:tcW w:w="488" w:type="dxa"/>
          </w:tcPr>
          <w:p w14:paraId="26FE60DA" w14:textId="77777777" w:rsidR="0075552D" w:rsidRDefault="0075552D" w:rsidP="0075552D">
            <w:pPr>
              <w:jc w:val="center"/>
            </w:pPr>
          </w:p>
        </w:tc>
        <w:tc>
          <w:tcPr>
            <w:tcW w:w="592" w:type="dxa"/>
          </w:tcPr>
          <w:p w14:paraId="07D65321" w14:textId="77777777" w:rsidR="0075552D" w:rsidRDefault="0075552D" w:rsidP="0075552D">
            <w:pPr>
              <w:jc w:val="center"/>
            </w:pPr>
            <w:r>
              <w:t>V</w:t>
            </w:r>
          </w:p>
        </w:tc>
        <w:tc>
          <w:tcPr>
            <w:tcW w:w="6308" w:type="dxa"/>
          </w:tcPr>
          <w:p w14:paraId="443FDADA" w14:textId="77777777" w:rsidR="0075552D" w:rsidRDefault="0075552D" w:rsidP="0075552D">
            <w:r>
              <w:t>issue directives, compliance notices, or binding instructions to ensure adherence to this Regulation.</w:t>
            </w:r>
          </w:p>
        </w:tc>
      </w:tr>
      <w:tr w:rsidR="0075552D" w14:paraId="398C1D25" w14:textId="77777777" w:rsidTr="002E43D9">
        <w:trPr>
          <w:trHeight w:val="289"/>
        </w:trPr>
        <w:tc>
          <w:tcPr>
            <w:tcW w:w="2880" w:type="dxa"/>
          </w:tcPr>
          <w:p w14:paraId="1A785C51" w14:textId="77777777" w:rsidR="0075552D" w:rsidRDefault="0075552D" w:rsidP="0075552D">
            <w:pPr>
              <w:rPr>
                <w:b/>
              </w:rPr>
            </w:pPr>
          </w:p>
        </w:tc>
        <w:tc>
          <w:tcPr>
            <w:tcW w:w="535" w:type="dxa"/>
          </w:tcPr>
          <w:p w14:paraId="167A58DC" w14:textId="77777777" w:rsidR="0075552D" w:rsidRDefault="0075552D" w:rsidP="0075552D"/>
        </w:tc>
        <w:tc>
          <w:tcPr>
            <w:tcW w:w="488" w:type="dxa"/>
          </w:tcPr>
          <w:p w14:paraId="6EAFA3B2" w14:textId="77777777" w:rsidR="0075552D" w:rsidRDefault="0075552D" w:rsidP="0075552D">
            <w:pPr>
              <w:jc w:val="center"/>
            </w:pPr>
            <w:r>
              <w:t>(b)</w:t>
            </w:r>
          </w:p>
        </w:tc>
        <w:tc>
          <w:tcPr>
            <w:tcW w:w="592" w:type="dxa"/>
          </w:tcPr>
          <w:p w14:paraId="6327D135" w14:textId="77777777" w:rsidR="0075552D" w:rsidRDefault="0075552D" w:rsidP="0075552D">
            <w:pPr>
              <w:jc w:val="center"/>
            </w:pPr>
          </w:p>
        </w:tc>
        <w:tc>
          <w:tcPr>
            <w:tcW w:w="6308" w:type="dxa"/>
          </w:tcPr>
          <w:p w14:paraId="0991CDAD" w14:textId="77777777" w:rsidR="0075552D" w:rsidRDefault="0075552D" w:rsidP="0075552D">
            <w:r>
              <w:t>Failure to comply with any directive or requirement under this regulation shall constitute a regulatory breach.</w:t>
            </w:r>
          </w:p>
        </w:tc>
      </w:tr>
      <w:tr w:rsidR="0075552D" w14:paraId="5E9CA31E" w14:textId="77777777" w:rsidTr="002E43D9">
        <w:trPr>
          <w:trHeight w:val="289"/>
        </w:trPr>
        <w:tc>
          <w:tcPr>
            <w:tcW w:w="2880" w:type="dxa"/>
          </w:tcPr>
          <w:p w14:paraId="4F46F03A" w14:textId="77777777" w:rsidR="0075552D" w:rsidRDefault="0075552D" w:rsidP="0075552D">
            <w:pPr>
              <w:rPr>
                <w:b/>
              </w:rPr>
            </w:pPr>
          </w:p>
        </w:tc>
        <w:tc>
          <w:tcPr>
            <w:tcW w:w="535" w:type="dxa"/>
          </w:tcPr>
          <w:p w14:paraId="6F7ACE77" w14:textId="77777777" w:rsidR="0075552D" w:rsidRDefault="0075552D" w:rsidP="0075552D"/>
        </w:tc>
        <w:tc>
          <w:tcPr>
            <w:tcW w:w="488" w:type="dxa"/>
          </w:tcPr>
          <w:p w14:paraId="554F8C90" w14:textId="77777777" w:rsidR="0075552D" w:rsidRDefault="0075552D" w:rsidP="0075552D">
            <w:pPr>
              <w:jc w:val="center"/>
            </w:pPr>
            <w:r>
              <w:t>(c)</w:t>
            </w:r>
          </w:p>
        </w:tc>
        <w:tc>
          <w:tcPr>
            <w:tcW w:w="592" w:type="dxa"/>
          </w:tcPr>
          <w:p w14:paraId="67D0485A" w14:textId="77777777" w:rsidR="0075552D" w:rsidRDefault="0075552D" w:rsidP="0075552D">
            <w:pPr>
              <w:jc w:val="center"/>
            </w:pPr>
          </w:p>
        </w:tc>
        <w:tc>
          <w:tcPr>
            <w:tcW w:w="6308" w:type="dxa"/>
          </w:tcPr>
          <w:p w14:paraId="3C748EF2" w14:textId="77777777" w:rsidR="0075552D" w:rsidRDefault="0075552D" w:rsidP="0075552D">
            <w:r>
              <w:t>A person who contravenes this Regulation commits an offence and may be subject to:</w:t>
            </w:r>
          </w:p>
        </w:tc>
      </w:tr>
      <w:tr w:rsidR="0075552D" w14:paraId="2E76A3AD" w14:textId="77777777" w:rsidTr="002E43D9">
        <w:trPr>
          <w:trHeight w:val="289"/>
        </w:trPr>
        <w:tc>
          <w:tcPr>
            <w:tcW w:w="2880" w:type="dxa"/>
          </w:tcPr>
          <w:p w14:paraId="3A2AA17F" w14:textId="77777777" w:rsidR="0075552D" w:rsidRDefault="0075552D" w:rsidP="0075552D">
            <w:pPr>
              <w:rPr>
                <w:b/>
              </w:rPr>
            </w:pPr>
          </w:p>
        </w:tc>
        <w:tc>
          <w:tcPr>
            <w:tcW w:w="535" w:type="dxa"/>
          </w:tcPr>
          <w:p w14:paraId="108258AF" w14:textId="77777777" w:rsidR="0075552D" w:rsidRDefault="0075552D" w:rsidP="0075552D"/>
        </w:tc>
        <w:tc>
          <w:tcPr>
            <w:tcW w:w="488" w:type="dxa"/>
          </w:tcPr>
          <w:p w14:paraId="7390F95A" w14:textId="77777777" w:rsidR="0075552D" w:rsidRDefault="0075552D" w:rsidP="0075552D">
            <w:pPr>
              <w:jc w:val="center"/>
            </w:pPr>
          </w:p>
        </w:tc>
        <w:tc>
          <w:tcPr>
            <w:tcW w:w="592" w:type="dxa"/>
          </w:tcPr>
          <w:p w14:paraId="1BBAF25A" w14:textId="77777777" w:rsidR="0075552D" w:rsidRDefault="0075552D" w:rsidP="0075552D">
            <w:pPr>
              <w:jc w:val="center"/>
            </w:pPr>
            <w:r>
              <w:t>I</w:t>
            </w:r>
          </w:p>
        </w:tc>
        <w:tc>
          <w:tcPr>
            <w:tcW w:w="6308" w:type="dxa"/>
          </w:tcPr>
          <w:p w14:paraId="6DF01586" w14:textId="77777777" w:rsidR="0075552D" w:rsidRDefault="0075552D" w:rsidP="0075552D">
            <w:r>
              <w:t>Administrative penalties including warnings, reprimands, and monetary fines;</w:t>
            </w:r>
          </w:p>
        </w:tc>
      </w:tr>
      <w:tr w:rsidR="0075552D" w14:paraId="6AEA05C8" w14:textId="77777777" w:rsidTr="002E43D9">
        <w:trPr>
          <w:trHeight w:val="289"/>
        </w:trPr>
        <w:tc>
          <w:tcPr>
            <w:tcW w:w="2880" w:type="dxa"/>
          </w:tcPr>
          <w:p w14:paraId="1871F034" w14:textId="77777777" w:rsidR="0075552D" w:rsidRDefault="0075552D" w:rsidP="0075552D">
            <w:pPr>
              <w:rPr>
                <w:b/>
              </w:rPr>
            </w:pPr>
          </w:p>
        </w:tc>
        <w:tc>
          <w:tcPr>
            <w:tcW w:w="535" w:type="dxa"/>
          </w:tcPr>
          <w:p w14:paraId="6618B1E3" w14:textId="77777777" w:rsidR="0075552D" w:rsidRDefault="0075552D" w:rsidP="0075552D"/>
        </w:tc>
        <w:tc>
          <w:tcPr>
            <w:tcW w:w="488" w:type="dxa"/>
          </w:tcPr>
          <w:p w14:paraId="5C6D37BE" w14:textId="77777777" w:rsidR="0075552D" w:rsidRDefault="0075552D" w:rsidP="0075552D">
            <w:pPr>
              <w:jc w:val="center"/>
            </w:pPr>
          </w:p>
        </w:tc>
        <w:tc>
          <w:tcPr>
            <w:tcW w:w="592" w:type="dxa"/>
          </w:tcPr>
          <w:p w14:paraId="65004B8A" w14:textId="77777777" w:rsidR="0075552D" w:rsidRDefault="0075552D" w:rsidP="0075552D">
            <w:pPr>
              <w:jc w:val="center"/>
            </w:pPr>
            <w:r>
              <w:t>II</w:t>
            </w:r>
          </w:p>
        </w:tc>
        <w:tc>
          <w:tcPr>
            <w:tcW w:w="6308" w:type="dxa"/>
          </w:tcPr>
          <w:p w14:paraId="575ECCF7" w14:textId="77777777" w:rsidR="0075552D" w:rsidRDefault="0075552D" w:rsidP="0075552D">
            <w:r>
              <w:t>civil penalties including restitution orders, injunctions, or disgorgement of illicit gains;</w:t>
            </w:r>
          </w:p>
        </w:tc>
      </w:tr>
      <w:tr w:rsidR="0075552D" w14:paraId="1D24380D" w14:textId="77777777" w:rsidTr="002E43D9">
        <w:trPr>
          <w:trHeight w:val="289"/>
        </w:trPr>
        <w:tc>
          <w:tcPr>
            <w:tcW w:w="2880" w:type="dxa"/>
          </w:tcPr>
          <w:p w14:paraId="2EECB2A2" w14:textId="77777777" w:rsidR="0075552D" w:rsidRDefault="0075552D" w:rsidP="0075552D">
            <w:pPr>
              <w:rPr>
                <w:b/>
              </w:rPr>
            </w:pPr>
          </w:p>
        </w:tc>
        <w:tc>
          <w:tcPr>
            <w:tcW w:w="535" w:type="dxa"/>
          </w:tcPr>
          <w:p w14:paraId="498DB6C2" w14:textId="77777777" w:rsidR="0075552D" w:rsidRDefault="0075552D" w:rsidP="0075552D"/>
        </w:tc>
        <w:tc>
          <w:tcPr>
            <w:tcW w:w="488" w:type="dxa"/>
          </w:tcPr>
          <w:p w14:paraId="5CA91C5F" w14:textId="77777777" w:rsidR="0075552D" w:rsidRDefault="0075552D" w:rsidP="0075552D">
            <w:pPr>
              <w:jc w:val="center"/>
            </w:pPr>
          </w:p>
        </w:tc>
        <w:tc>
          <w:tcPr>
            <w:tcW w:w="592" w:type="dxa"/>
          </w:tcPr>
          <w:p w14:paraId="5EB257EE" w14:textId="77777777" w:rsidR="0075552D" w:rsidRDefault="0075552D" w:rsidP="0075552D">
            <w:pPr>
              <w:jc w:val="center"/>
            </w:pPr>
            <w:r>
              <w:t>III</w:t>
            </w:r>
          </w:p>
        </w:tc>
        <w:tc>
          <w:tcPr>
            <w:tcW w:w="6308" w:type="dxa"/>
          </w:tcPr>
          <w:p w14:paraId="7AE4231E" w14:textId="77777777" w:rsidR="0075552D" w:rsidRDefault="0075552D" w:rsidP="0075552D">
            <w:r>
              <w:t>criminal penalties, including fines or imprisonment, in accordance with the Penal Code and relevant financial crime legislation.</w:t>
            </w:r>
          </w:p>
        </w:tc>
      </w:tr>
      <w:tr w:rsidR="0075552D" w14:paraId="0C5537C9" w14:textId="77777777" w:rsidTr="002E43D9">
        <w:trPr>
          <w:trHeight w:val="289"/>
        </w:trPr>
        <w:tc>
          <w:tcPr>
            <w:tcW w:w="2880" w:type="dxa"/>
          </w:tcPr>
          <w:p w14:paraId="118711D5" w14:textId="7CD57FA3" w:rsidR="0075552D" w:rsidRDefault="006A6391" w:rsidP="0075552D">
            <w:pPr>
              <w:rPr>
                <w:b/>
              </w:rPr>
            </w:pPr>
            <w:r>
              <w:rPr>
                <w:b/>
              </w:rPr>
              <w:t xml:space="preserve"> </w:t>
            </w:r>
          </w:p>
        </w:tc>
        <w:tc>
          <w:tcPr>
            <w:tcW w:w="535" w:type="dxa"/>
          </w:tcPr>
          <w:p w14:paraId="05C3DA52" w14:textId="77777777" w:rsidR="0075552D" w:rsidRDefault="0075552D" w:rsidP="0075552D"/>
        </w:tc>
        <w:tc>
          <w:tcPr>
            <w:tcW w:w="488" w:type="dxa"/>
          </w:tcPr>
          <w:p w14:paraId="459B2945" w14:textId="77777777" w:rsidR="0075552D" w:rsidRDefault="0075552D" w:rsidP="0075552D">
            <w:pPr>
              <w:jc w:val="center"/>
            </w:pPr>
            <w:r>
              <w:t>(d)</w:t>
            </w:r>
          </w:p>
        </w:tc>
        <w:tc>
          <w:tcPr>
            <w:tcW w:w="592" w:type="dxa"/>
          </w:tcPr>
          <w:p w14:paraId="6C8B1FB8" w14:textId="77777777" w:rsidR="0075552D" w:rsidRDefault="0075552D" w:rsidP="0075552D">
            <w:pPr>
              <w:jc w:val="center"/>
            </w:pPr>
          </w:p>
        </w:tc>
        <w:tc>
          <w:tcPr>
            <w:tcW w:w="6308" w:type="dxa"/>
          </w:tcPr>
          <w:p w14:paraId="304CC603" w14:textId="77777777" w:rsidR="0075552D" w:rsidRDefault="0075552D" w:rsidP="0075552D">
            <w:r>
              <w:t>Where the breach involves money laundering, terrorism financing, or related illicit activity, the matter shall be referred to the Maldives Monetary Authority, the Financial Intelligence Unit, and law enforcement agencies for further action.</w:t>
            </w:r>
          </w:p>
        </w:tc>
      </w:tr>
      <w:tr w:rsidR="0075552D" w14:paraId="10D276C9" w14:textId="77777777" w:rsidTr="002E43D9">
        <w:trPr>
          <w:trHeight w:val="289"/>
        </w:trPr>
        <w:tc>
          <w:tcPr>
            <w:tcW w:w="2880" w:type="dxa"/>
          </w:tcPr>
          <w:p w14:paraId="3C49D391" w14:textId="66492715" w:rsidR="0075552D" w:rsidRPr="00383E12" w:rsidRDefault="0075552D" w:rsidP="0075552D">
            <w:pPr>
              <w:rPr>
                <w:b/>
                <w:bCs/>
              </w:rPr>
            </w:pPr>
          </w:p>
        </w:tc>
        <w:tc>
          <w:tcPr>
            <w:tcW w:w="535" w:type="dxa"/>
          </w:tcPr>
          <w:p w14:paraId="77462855" w14:textId="1A63B15F" w:rsidR="0075552D" w:rsidRDefault="0075552D" w:rsidP="0075552D"/>
        </w:tc>
        <w:tc>
          <w:tcPr>
            <w:tcW w:w="488" w:type="dxa"/>
          </w:tcPr>
          <w:p w14:paraId="598629BB" w14:textId="005AD5E4" w:rsidR="0075552D" w:rsidRDefault="0075552D" w:rsidP="0075552D">
            <w:pPr>
              <w:jc w:val="center"/>
            </w:pPr>
          </w:p>
        </w:tc>
        <w:tc>
          <w:tcPr>
            <w:tcW w:w="592" w:type="dxa"/>
          </w:tcPr>
          <w:p w14:paraId="0AFBD7A8" w14:textId="77777777" w:rsidR="0075552D" w:rsidRDefault="0075552D" w:rsidP="0075552D">
            <w:pPr>
              <w:jc w:val="center"/>
            </w:pPr>
          </w:p>
        </w:tc>
        <w:tc>
          <w:tcPr>
            <w:tcW w:w="6308" w:type="dxa"/>
          </w:tcPr>
          <w:p w14:paraId="7A8D1102" w14:textId="1C2E9D56" w:rsidR="0075552D" w:rsidRDefault="0075552D" w:rsidP="0075552D"/>
        </w:tc>
      </w:tr>
      <w:tr w:rsidR="0075552D" w14:paraId="44308BC5" w14:textId="77777777" w:rsidTr="002E43D9">
        <w:trPr>
          <w:trHeight w:val="289"/>
        </w:trPr>
        <w:tc>
          <w:tcPr>
            <w:tcW w:w="2880" w:type="dxa"/>
          </w:tcPr>
          <w:p w14:paraId="0F549932" w14:textId="44011888" w:rsidR="0075552D" w:rsidRDefault="0075552D" w:rsidP="0075552D">
            <w:pPr>
              <w:rPr>
                <w:b/>
              </w:rPr>
            </w:pPr>
            <w:r w:rsidRPr="008E19D3">
              <w:rPr>
                <w:b/>
                <w:bCs/>
              </w:rPr>
              <w:t>Freezing of Virtual Assets</w:t>
            </w:r>
          </w:p>
        </w:tc>
        <w:tc>
          <w:tcPr>
            <w:tcW w:w="535" w:type="dxa"/>
          </w:tcPr>
          <w:p w14:paraId="3B85D720" w14:textId="66389134" w:rsidR="0075552D" w:rsidRDefault="0075552D" w:rsidP="0075552D">
            <w:r>
              <w:t>3</w:t>
            </w:r>
            <w:r w:rsidR="005C4D2C">
              <w:t>7</w:t>
            </w:r>
            <w:r>
              <w:t>.</w:t>
            </w:r>
          </w:p>
        </w:tc>
        <w:tc>
          <w:tcPr>
            <w:tcW w:w="488" w:type="dxa"/>
          </w:tcPr>
          <w:p w14:paraId="189AB6CD" w14:textId="3966A94A" w:rsidR="0075552D" w:rsidRDefault="0075552D" w:rsidP="0075552D">
            <w:pPr>
              <w:jc w:val="center"/>
            </w:pPr>
            <w:r>
              <w:t>(a)</w:t>
            </w:r>
          </w:p>
        </w:tc>
        <w:tc>
          <w:tcPr>
            <w:tcW w:w="592" w:type="dxa"/>
          </w:tcPr>
          <w:p w14:paraId="02639797" w14:textId="77777777" w:rsidR="0075552D" w:rsidRDefault="0075552D" w:rsidP="0075552D">
            <w:pPr>
              <w:jc w:val="center"/>
            </w:pPr>
          </w:p>
        </w:tc>
        <w:tc>
          <w:tcPr>
            <w:tcW w:w="6308" w:type="dxa"/>
          </w:tcPr>
          <w:p w14:paraId="41BB2969" w14:textId="0028C498" w:rsidR="0075552D" w:rsidRDefault="0075552D" w:rsidP="0075552D">
            <w:r w:rsidRPr="008E19D3">
              <w:t xml:space="preserve">The Authority or competent authority may order the freezing or suspension of virtual assets where there is </w:t>
            </w:r>
            <w:r w:rsidR="00F95841">
              <w:t xml:space="preserve">a </w:t>
            </w:r>
            <w:r w:rsidRPr="008E19D3">
              <w:t>reasonable suspicion of their involvement in money laundering, terrorist financing, fraud, or other illicit activities.</w:t>
            </w:r>
          </w:p>
        </w:tc>
      </w:tr>
      <w:tr w:rsidR="0075552D" w14:paraId="1EE4C202" w14:textId="77777777" w:rsidTr="002E43D9">
        <w:trPr>
          <w:trHeight w:val="289"/>
        </w:trPr>
        <w:tc>
          <w:tcPr>
            <w:tcW w:w="2880" w:type="dxa"/>
          </w:tcPr>
          <w:p w14:paraId="723229BA" w14:textId="77777777" w:rsidR="0075552D" w:rsidRDefault="0075552D" w:rsidP="0075552D">
            <w:pPr>
              <w:rPr>
                <w:b/>
              </w:rPr>
            </w:pPr>
          </w:p>
        </w:tc>
        <w:tc>
          <w:tcPr>
            <w:tcW w:w="535" w:type="dxa"/>
          </w:tcPr>
          <w:p w14:paraId="0977C646" w14:textId="77777777" w:rsidR="0075552D" w:rsidRDefault="0075552D" w:rsidP="0075552D"/>
        </w:tc>
        <w:tc>
          <w:tcPr>
            <w:tcW w:w="488" w:type="dxa"/>
          </w:tcPr>
          <w:p w14:paraId="52FE2F17" w14:textId="67437719" w:rsidR="0075552D" w:rsidRDefault="0075552D" w:rsidP="0075552D">
            <w:pPr>
              <w:jc w:val="center"/>
            </w:pPr>
            <w:r>
              <w:t>(b)</w:t>
            </w:r>
          </w:p>
        </w:tc>
        <w:tc>
          <w:tcPr>
            <w:tcW w:w="592" w:type="dxa"/>
          </w:tcPr>
          <w:p w14:paraId="7C616004" w14:textId="77777777" w:rsidR="0075552D" w:rsidRDefault="0075552D" w:rsidP="0075552D">
            <w:pPr>
              <w:jc w:val="center"/>
            </w:pPr>
          </w:p>
        </w:tc>
        <w:tc>
          <w:tcPr>
            <w:tcW w:w="6308" w:type="dxa"/>
          </w:tcPr>
          <w:p w14:paraId="3EAD716A" w14:textId="75100D22" w:rsidR="0075552D" w:rsidRDefault="0075552D" w:rsidP="0075552D">
            <w:proofErr w:type="gramStart"/>
            <w:r w:rsidRPr="008E19D3">
              <w:t xml:space="preserve">A </w:t>
            </w:r>
            <w:r w:rsidR="003F41B5">
              <w:t>S</w:t>
            </w:r>
            <w:proofErr w:type="gramEnd"/>
            <w:r w:rsidR="003F41B5">
              <w:t>-</w:t>
            </w:r>
            <w:r w:rsidRPr="008E19D3">
              <w:t>VASP shall promptly comply with any such order and implement related prohibitions on dealing with designated persons or entities as prescribed under AML/CFT laws.</w:t>
            </w:r>
            <w:r w:rsidR="00383E12">
              <w:t xml:space="preserve"> </w:t>
            </w:r>
          </w:p>
        </w:tc>
      </w:tr>
      <w:tr w:rsidR="0075552D" w14:paraId="59F7FAA3" w14:textId="77777777" w:rsidTr="002E43D9">
        <w:trPr>
          <w:trHeight w:val="289"/>
        </w:trPr>
        <w:tc>
          <w:tcPr>
            <w:tcW w:w="2880" w:type="dxa"/>
          </w:tcPr>
          <w:p w14:paraId="5B36886D" w14:textId="77777777" w:rsidR="0075552D" w:rsidRDefault="0075552D" w:rsidP="0075552D">
            <w:pPr>
              <w:rPr>
                <w:b/>
              </w:rPr>
            </w:pPr>
          </w:p>
        </w:tc>
        <w:tc>
          <w:tcPr>
            <w:tcW w:w="535" w:type="dxa"/>
          </w:tcPr>
          <w:p w14:paraId="561CB69B" w14:textId="77777777" w:rsidR="0075552D" w:rsidRDefault="0075552D" w:rsidP="0075552D"/>
        </w:tc>
        <w:tc>
          <w:tcPr>
            <w:tcW w:w="488" w:type="dxa"/>
          </w:tcPr>
          <w:p w14:paraId="26963F90" w14:textId="6AEC9B90" w:rsidR="0075552D" w:rsidRDefault="0075552D" w:rsidP="0075552D">
            <w:pPr>
              <w:jc w:val="center"/>
            </w:pPr>
            <w:r>
              <w:t>(c)</w:t>
            </w:r>
          </w:p>
        </w:tc>
        <w:tc>
          <w:tcPr>
            <w:tcW w:w="592" w:type="dxa"/>
          </w:tcPr>
          <w:p w14:paraId="6D113653" w14:textId="77777777" w:rsidR="0075552D" w:rsidRDefault="0075552D" w:rsidP="0075552D">
            <w:pPr>
              <w:jc w:val="center"/>
            </w:pPr>
          </w:p>
        </w:tc>
        <w:tc>
          <w:tcPr>
            <w:tcW w:w="6308" w:type="dxa"/>
          </w:tcPr>
          <w:p w14:paraId="485E0523" w14:textId="22D46161" w:rsidR="0075552D" w:rsidRDefault="0075552D" w:rsidP="0075552D">
            <w:r w:rsidRPr="008E19D3">
              <w:t>The Authority may coordinate with the Maldives Monetary Authority, Financial Intelligence Unit, or international counterparts for execution of freezing measures in compliance with UN or international sanctions frameworks.</w:t>
            </w:r>
          </w:p>
        </w:tc>
      </w:tr>
      <w:tr w:rsidR="0075552D" w14:paraId="595D76F2" w14:textId="77777777" w:rsidTr="002E43D9">
        <w:trPr>
          <w:trHeight w:val="289"/>
        </w:trPr>
        <w:tc>
          <w:tcPr>
            <w:tcW w:w="2880" w:type="dxa"/>
          </w:tcPr>
          <w:p w14:paraId="7523B6A3" w14:textId="77777777" w:rsidR="0075552D" w:rsidRDefault="0075552D" w:rsidP="0075552D">
            <w:pPr>
              <w:rPr>
                <w:b/>
              </w:rPr>
            </w:pPr>
            <w:r>
              <w:rPr>
                <w:b/>
              </w:rPr>
              <w:t xml:space="preserve">Appeals </w:t>
            </w:r>
          </w:p>
        </w:tc>
        <w:tc>
          <w:tcPr>
            <w:tcW w:w="535" w:type="dxa"/>
          </w:tcPr>
          <w:p w14:paraId="76227F33" w14:textId="703D6BE7" w:rsidR="0075552D" w:rsidRDefault="0075552D" w:rsidP="0075552D">
            <w:r>
              <w:t>3</w:t>
            </w:r>
            <w:r w:rsidR="00C031B5">
              <w:t>8</w:t>
            </w:r>
            <w:r>
              <w:t>.</w:t>
            </w:r>
          </w:p>
        </w:tc>
        <w:tc>
          <w:tcPr>
            <w:tcW w:w="488" w:type="dxa"/>
          </w:tcPr>
          <w:p w14:paraId="2476CEA0" w14:textId="77777777" w:rsidR="0075552D" w:rsidRDefault="0075552D" w:rsidP="0075552D">
            <w:pPr>
              <w:jc w:val="center"/>
            </w:pPr>
            <w:r>
              <w:t>(a)</w:t>
            </w:r>
          </w:p>
        </w:tc>
        <w:tc>
          <w:tcPr>
            <w:tcW w:w="592" w:type="dxa"/>
          </w:tcPr>
          <w:p w14:paraId="7CE196C7" w14:textId="77777777" w:rsidR="0075552D" w:rsidRDefault="0075552D" w:rsidP="0075552D">
            <w:pPr>
              <w:jc w:val="center"/>
            </w:pPr>
          </w:p>
        </w:tc>
        <w:tc>
          <w:tcPr>
            <w:tcW w:w="6308" w:type="dxa"/>
          </w:tcPr>
          <w:p w14:paraId="75625B82" w14:textId="77777777" w:rsidR="0075552D" w:rsidRDefault="0075552D" w:rsidP="0075552D">
            <w:r>
              <w:t>Any person aggrieved by a decision of the Authority or Committee may appeal to the CMDA Board within thirty (30) days.</w:t>
            </w:r>
          </w:p>
        </w:tc>
      </w:tr>
      <w:tr w:rsidR="0075552D" w14:paraId="35C9F1E7" w14:textId="77777777" w:rsidTr="002E43D9">
        <w:trPr>
          <w:trHeight w:val="289"/>
        </w:trPr>
        <w:tc>
          <w:tcPr>
            <w:tcW w:w="2880" w:type="dxa"/>
          </w:tcPr>
          <w:p w14:paraId="71A91154" w14:textId="77777777" w:rsidR="0075552D" w:rsidRDefault="0075552D" w:rsidP="0075552D">
            <w:pPr>
              <w:rPr>
                <w:b/>
              </w:rPr>
            </w:pPr>
          </w:p>
        </w:tc>
        <w:tc>
          <w:tcPr>
            <w:tcW w:w="535" w:type="dxa"/>
          </w:tcPr>
          <w:p w14:paraId="7E0AC789" w14:textId="77777777" w:rsidR="0075552D" w:rsidRDefault="0075552D" w:rsidP="0075552D"/>
        </w:tc>
        <w:tc>
          <w:tcPr>
            <w:tcW w:w="488" w:type="dxa"/>
          </w:tcPr>
          <w:p w14:paraId="7E95D511" w14:textId="77777777" w:rsidR="0075552D" w:rsidRDefault="0075552D" w:rsidP="0075552D">
            <w:pPr>
              <w:jc w:val="center"/>
            </w:pPr>
            <w:r>
              <w:t>(b)</w:t>
            </w:r>
          </w:p>
        </w:tc>
        <w:tc>
          <w:tcPr>
            <w:tcW w:w="592" w:type="dxa"/>
          </w:tcPr>
          <w:p w14:paraId="551BE895" w14:textId="77777777" w:rsidR="0075552D" w:rsidRDefault="0075552D" w:rsidP="0075552D">
            <w:pPr>
              <w:jc w:val="center"/>
            </w:pPr>
          </w:p>
        </w:tc>
        <w:tc>
          <w:tcPr>
            <w:tcW w:w="6308" w:type="dxa"/>
          </w:tcPr>
          <w:p w14:paraId="2AB67C43" w14:textId="77777777" w:rsidR="0075552D" w:rsidRDefault="0075552D" w:rsidP="0075552D">
            <w:r>
              <w:t>The Board shall decide within sixty (60) days.</w:t>
            </w:r>
          </w:p>
        </w:tc>
      </w:tr>
      <w:tr w:rsidR="008050C6" w14:paraId="340CC8AD" w14:textId="77777777" w:rsidTr="002E43D9">
        <w:trPr>
          <w:trHeight w:val="289"/>
        </w:trPr>
        <w:tc>
          <w:tcPr>
            <w:tcW w:w="2880" w:type="dxa"/>
          </w:tcPr>
          <w:p w14:paraId="25D4B3B3" w14:textId="7AF96BED" w:rsidR="008050C6" w:rsidRDefault="008050C6" w:rsidP="0075552D">
            <w:pPr>
              <w:rPr>
                <w:b/>
              </w:rPr>
            </w:pPr>
            <w:r w:rsidRPr="00383E12">
              <w:rPr>
                <w:b/>
                <w:bCs/>
              </w:rPr>
              <w:t xml:space="preserve">Cross-border Collaboration </w:t>
            </w:r>
            <w:r>
              <w:rPr>
                <w:b/>
                <w:bCs/>
              </w:rPr>
              <w:t xml:space="preserve"> </w:t>
            </w:r>
          </w:p>
        </w:tc>
        <w:tc>
          <w:tcPr>
            <w:tcW w:w="535" w:type="dxa"/>
          </w:tcPr>
          <w:p w14:paraId="6BFE91EC" w14:textId="56F64371" w:rsidR="008050C6" w:rsidRDefault="008050C6" w:rsidP="0075552D">
            <w:r>
              <w:t>3</w:t>
            </w:r>
            <w:r w:rsidR="00C031B5">
              <w:t>9</w:t>
            </w:r>
            <w:r w:rsidR="00BD4DF8">
              <w:t xml:space="preserve">. </w:t>
            </w:r>
          </w:p>
        </w:tc>
        <w:tc>
          <w:tcPr>
            <w:tcW w:w="488" w:type="dxa"/>
          </w:tcPr>
          <w:p w14:paraId="2030F7E8" w14:textId="77777777" w:rsidR="008050C6" w:rsidRDefault="008050C6" w:rsidP="0075552D">
            <w:pPr>
              <w:jc w:val="center"/>
            </w:pPr>
          </w:p>
        </w:tc>
        <w:tc>
          <w:tcPr>
            <w:tcW w:w="592" w:type="dxa"/>
          </w:tcPr>
          <w:p w14:paraId="11A34BC9" w14:textId="77777777" w:rsidR="008050C6" w:rsidRDefault="008050C6" w:rsidP="0075552D">
            <w:pPr>
              <w:jc w:val="center"/>
            </w:pPr>
          </w:p>
        </w:tc>
        <w:tc>
          <w:tcPr>
            <w:tcW w:w="6308" w:type="dxa"/>
          </w:tcPr>
          <w:p w14:paraId="409F22F4" w14:textId="252730E9" w:rsidR="008050C6" w:rsidRDefault="008050C6" w:rsidP="0075552D">
            <w:r>
              <w:t xml:space="preserve">The Authority may enter into memoranda of understanding with foreign regulators for supervision of cross-border virtual assets activities, information sharing, and enforcement cooperation. </w:t>
            </w:r>
          </w:p>
        </w:tc>
      </w:tr>
      <w:tr w:rsidR="0075552D" w14:paraId="7E742049" w14:textId="77777777" w:rsidTr="002E43D9">
        <w:trPr>
          <w:trHeight w:val="289"/>
        </w:trPr>
        <w:tc>
          <w:tcPr>
            <w:tcW w:w="2880" w:type="dxa"/>
          </w:tcPr>
          <w:p w14:paraId="1F520369" w14:textId="77777777" w:rsidR="0075552D" w:rsidRDefault="0075552D" w:rsidP="0075552D">
            <w:pPr>
              <w:rPr>
                <w:b/>
              </w:rPr>
            </w:pPr>
            <w:r>
              <w:rPr>
                <w:b/>
              </w:rPr>
              <w:t xml:space="preserve">Transitional arrangement </w:t>
            </w:r>
          </w:p>
        </w:tc>
        <w:tc>
          <w:tcPr>
            <w:tcW w:w="535" w:type="dxa"/>
          </w:tcPr>
          <w:p w14:paraId="28599A7A" w14:textId="590B19FC" w:rsidR="0075552D" w:rsidRDefault="00C031B5" w:rsidP="0075552D">
            <w:r>
              <w:t>40</w:t>
            </w:r>
            <w:r w:rsidR="0075552D">
              <w:t>.</w:t>
            </w:r>
          </w:p>
        </w:tc>
        <w:tc>
          <w:tcPr>
            <w:tcW w:w="488" w:type="dxa"/>
          </w:tcPr>
          <w:p w14:paraId="1088112A" w14:textId="77777777" w:rsidR="0075552D" w:rsidRDefault="0075552D" w:rsidP="0075552D">
            <w:pPr>
              <w:jc w:val="center"/>
            </w:pPr>
            <w:r>
              <w:t>(a)</w:t>
            </w:r>
          </w:p>
        </w:tc>
        <w:tc>
          <w:tcPr>
            <w:tcW w:w="592" w:type="dxa"/>
          </w:tcPr>
          <w:p w14:paraId="4F073FBD" w14:textId="77777777" w:rsidR="0075552D" w:rsidRDefault="0075552D" w:rsidP="0075552D">
            <w:pPr>
              <w:jc w:val="center"/>
            </w:pPr>
          </w:p>
        </w:tc>
        <w:tc>
          <w:tcPr>
            <w:tcW w:w="6308" w:type="dxa"/>
          </w:tcPr>
          <w:p w14:paraId="64251A70" w14:textId="411E8378" w:rsidR="0075552D" w:rsidRDefault="00B17C1C" w:rsidP="0075552D">
            <w:r>
              <w:t>S-</w:t>
            </w:r>
            <w:r w:rsidR="0075552D">
              <w:t>VASPs operating in the Maldives prior to the commencement of this regulation may be granted a voluntary pre-licensing period to become compliant with the new regulatory framework.</w:t>
            </w:r>
          </w:p>
        </w:tc>
      </w:tr>
      <w:tr w:rsidR="0075552D" w14:paraId="1654690D" w14:textId="77777777" w:rsidTr="002E43D9">
        <w:trPr>
          <w:trHeight w:val="289"/>
        </w:trPr>
        <w:tc>
          <w:tcPr>
            <w:tcW w:w="2880" w:type="dxa"/>
          </w:tcPr>
          <w:p w14:paraId="48079C69" w14:textId="77777777" w:rsidR="0075552D" w:rsidRDefault="0075552D" w:rsidP="0075552D">
            <w:pPr>
              <w:rPr>
                <w:b/>
              </w:rPr>
            </w:pPr>
          </w:p>
        </w:tc>
        <w:tc>
          <w:tcPr>
            <w:tcW w:w="535" w:type="dxa"/>
          </w:tcPr>
          <w:p w14:paraId="670846C7" w14:textId="77777777" w:rsidR="0075552D" w:rsidRDefault="0075552D" w:rsidP="0075552D"/>
        </w:tc>
        <w:tc>
          <w:tcPr>
            <w:tcW w:w="488" w:type="dxa"/>
          </w:tcPr>
          <w:p w14:paraId="439029F1" w14:textId="77777777" w:rsidR="0075552D" w:rsidRDefault="0075552D" w:rsidP="0075552D">
            <w:pPr>
              <w:jc w:val="center"/>
            </w:pPr>
            <w:r>
              <w:t>(b)</w:t>
            </w:r>
          </w:p>
        </w:tc>
        <w:tc>
          <w:tcPr>
            <w:tcW w:w="592" w:type="dxa"/>
          </w:tcPr>
          <w:p w14:paraId="0CA5E0BD" w14:textId="77777777" w:rsidR="0075552D" w:rsidRDefault="0075552D" w:rsidP="0075552D">
            <w:pPr>
              <w:jc w:val="center"/>
            </w:pPr>
          </w:p>
        </w:tc>
        <w:tc>
          <w:tcPr>
            <w:tcW w:w="6308" w:type="dxa"/>
          </w:tcPr>
          <w:p w14:paraId="52AB7280" w14:textId="34968BD8" w:rsidR="0075552D" w:rsidRDefault="00B17C1C" w:rsidP="0075552D">
            <w:r>
              <w:t>S-</w:t>
            </w:r>
            <w:r w:rsidR="0075552D">
              <w:t>VASPs operating during the transitional period must notify the Authority within 60</w:t>
            </w:r>
            <w:r>
              <w:t xml:space="preserve"> </w:t>
            </w:r>
            <w:r w:rsidR="0075552D">
              <w:t>days of the commencement of this Regulation, failing which they shall be deemed to be operating unlawfully.</w:t>
            </w:r>
          </w:p>
        </w:tc>
      </w:tr>
      <w:tr w:rsidR="0075552D" w14:paraId="1421AF76" w14:textId="77777777" w:rsidTr="002E43D9">
        <w:trPr>
          <w:trHeight w:val="289"/>
        </w:trPr>
        <w:tc>
          <w:tcPr>
            <w:tcW w:w="2880" w:type="dxa"/>
          </w:tcPr>
          <w:p w14:paraId="3F4ED550" w14:textId="77777777" w:rsidR="0075552D" w:rsidRDefault="0075552D" w:rsidP="0075552D">
            <w:pPr>
              <w:rPr>
                <w:b/>
              </w:rPr>
            </w:pPr>
          </w:p>
        </w:tc>
        <w:tc>
          <w:tcPr>
            <w:tcW w:w="535" w:type="dxa"/>
          </w:tcPr>
          <w:p w14:paraId="4E5A43BD" w14:textId="77777777" w:rsidR="0075552D" w:rsidRDefault="0075552D" w:rsidP="0075552D"/>
        </w:tc>
        <w:tc>
          <w:tcPr>
            <w:tcW w:w="488" w:type="dxa"/>
          </w:tcPr>
          <w:p w14:paraId="77E59627" w14:textId="77777777" w:rsidR="0075552D" w:rsidRDefault="0075552D" w:rsidP="0075552D">
            <w:pPr>
              <w:jc w:val="center"/>
            </w:pPr>
            <w:r>
              <w:t>(c)</w:t>
            </w:r>
          </w:p>
        </w:tc>
        <w:tc>
          <w:tcPr>
            <w:tcW w:w="592" w:type="dxa"/>
          </w:tcPr>
          <w:p w14:paraId="3DBE56F8" w14:textId="77777777" w:rsidR="0075552D" w:rsidRDefault="0075552D" w:rsidP="0075552D">
            <w:pPr>
              <w:jc w:val="center"/>
            </w:pPr>
          </w:p>
        </w:tc>
        <w:tc>
          <w:tcPr>
            <w:tcW w:w="6308" w:type="dxa"/>
          </w:tcPr>
          <w:p w14:paraId="4A1B4B39" w14:textId="189033B7" w:rsidR="0075552D" w:rsidRDefault="00F7402A" w:rsidP="0075552D">
            <w:r>
              <w:t>S-</w:t>
            </w:r>
            <w:r w:rsidR="0075552D">
              <w:t>VASPs participating in the Sandbox shall transition to Tier 1 or Tier 2 licensing within six (6) months following successful evaluation and approval by the Authority.</w:t>
            </w:r>
          </w:p>
        </w:tc>
      </w:tr>
      <w:tr w:rsidR="0075552D" w14:paraId="71A2D937" w14:textId="77777777" w:rsidTr="002E43D9">
        <w:trPr>
          <w:trHeight w:val="289"/>
        </w:trPr>
        <w:tc>
          <w:tcPr>
            <w:tcW w:w="2880" w:type="dxa"/>
          </w:tcPr>
          <w:p w14:paraId="6B550EF7" w14:textId="77777777" w:rsidR="0075552D" w:rsidRDefault="0075552D" w:rsidP="0075552D">
            <w:pPr>
              <w:rPr>
                <w:b/>
              </w:rPr>
            </w:pPr>
            <w:r>
              <w:rPr>
                <w:b/>
              </w:rPr>
              <w:t>Fees and Charges</w:t>
            </w:r>
          </w:p>
        </w:tc>
        <w:tc>
          <w:tcPr>
            <w:tcW w:w="535" w:type="dxa"/>
          </w:tcPr>
          <w:p w14:paraId="392C1669" w14:textId="2F32CE4F" w:rsidR="0075552D" w:rsidRDefault="0075552D" w:rsidP="0075552D">
            <w:r>
              <w:t>4</w:t>
            </w:r>
            <w:r w:rsidR="006F40C1">
              <w:t>1</w:t>
            </w:r>
            <w:r>
              <w:t>.</w:t>
            </w:r>
          </w:p>
        </w:tc>
        <w:tc>
          <w:tcPr>
            <w:tcW w:w="488" w:type="dxa"/>
          </w:tcPr>
          <w:p w14:paraId="6B649D92" w14:textId="77777777" w:rsidR="0075552D" w:rsidRDefault="0075552D" w:rsidP="0075552D">
            <w:pPr>
              <w:jc w:val="center"/>
            </w:pPr>
            <w:r>
              <w:t>(a)</w:t>
            </w:r>
          </w:p>
        </w:tc>
        <w:tc>
          <w:tcPr>
            <w:tcW w:w="592" w:type="dxa"/>
          </w:tcPr>
          <w:p w14:paraId="0DFDEBAB" w14:textId="77777777" w:rsidR="0075552D" w:rsidRDefault="0075552D" w:rsidP="0075552D">
            <w:pPr>
              <w:jc w:val="center"/>
            </w:pPr>
          </w:p>
        </w:tc>
        <w:tc>
          <w:tcPr>
            <w:tcW w:w="6308" w:type="dxa"/>
          </w:tcPr>
          <w:p w14:paraId="6146BBE3" w14:textId="4BF8EC95" w:rsidR="0075552D" w:rsidRDefault="0075552D" w:rsidP="0075552D">
            <w:r>
              <w:t xml:space="preserve">Every person applying for a </w:t>
            </w:r>
            <w:r w:rsidR="00665E27">
              <w:t xml:space="preserve">Securities </w:t>
            </w:r>
            <w:r>
              <w:t>Virtual Asset Service Provider (</w:t>
            </w:r>
            <w:r w:rsidR="00665E27">
              <w:t>S-</w:t>
            </w:r>
            <w:r>
              <w:t xml:space="preserve">VASP) license under this Regulation shall pay to the Authority a </w:t>
            </w:r>
            <w:r w:rsidRPr="00665E27">
              <w:rPr>
                <w:bCs/>
              </w:rPr>
              <w:t>non-refundable application fee</w:t>
            </w:r>
            <w:r>
              <w:t xml:space="preserve"> at the time of submission.</w:t>
            </w:r>
          </w:p>
        </w:tc>
      </w:tr>
      <w:tr w:rsidR="0075552D" w14:paraId="5592A4CA" w14:textId="77777777" w:rsidTr="002E43D9">
        <w:trPr>
          <w:trHeight w:val="289"/>
        </w:trPr>
        <w:tc>
          <w:tcPr>
            <w:tcW w:w="2880" w:type="dxa"/>
          </w:tcPr>
          <w:p w14:paraId="0F740673" w14:textId="77777777" w:rsidR="0075552D" w:rsidRDefault="0075552D" w:rsidP="0075552D">
            <w:pPr>
              <w:rPr>
                <w:b/>
              </w:rPr>
            </w:pPr>
          </w:p>
        </w:tc>
        <w:tc>
          <w:tcPr>
            <w:tcW w:w="535" w:type="dxa"/>
          </w:tcPr>
          <w:p w14:paraId="712819CE" w14:textId="77777777" w:rsidR="0075552D" w:rsidRDefault="0075552D" w:rsidP="0075552D"/>
        </w:tc>
        <w:tc>
          <w:tcPr>
            <w:tcW w:w="488" w:type="dxa"/>
          </w:tcPr>
          <w:p w14:paraId="2A72DE3C" w14:textId="77777777" w:rsidR="0075552D" w:rsidRDefault="0075552D" w:rsidP="0075552D">
            <w:pPr>
              <w:jc w:val="center"/>
            </w:pPr>
            <w:r>
              <w:t>(b)</w:t>
            </w:r>
          </w:p>
        </w:tc>
        <w:tc>
          <w:tcPr>
            <w:tcW w:w="592" w:type="dxa"/>
          </w:tcPr>
          <w:p w14:paraId="13C47AF1" w14:textId="77777777" w:rsidR="0075552D" w:rsidRDefault="0075552D" w:rsidP="0075552D">
            <w:pPr>
              <w:jc w:val="center"/>
            </w:pPr>
          </w:p>
        </w:tc>
        <w:tc>
          <w:tcPr>
            <w:tcW w:w="6308" w:type="dxa"/>
          </w:tcPr>
          <w:p w14:paraId="73AD2C8A" w14:textId="2D548FFB" w:rsidR="0075552D" w:rsidRDefault="0075552D" w:rsidP="0075552D">
            <w:r>
              <w:t xml:space="preserve">Upon approval of the license, the licensee shall pay a </w:t>
            </w:r>
            <w:r w:rsidRPr="00E26089">
              <w:rPr>
                <w:bCs/>
              </w:rPr>
              <w:t xml:space="preserve">licensing fee </w:t>
            </w:r>
            <w:r>
              <w:t>before the license is issued. The license shall not take effect until such fee is paid in full.</w:t>
            </w:r>
            <w:r w:rsidR="00E26089">
              <w:t xml:space="preserve"> </w:t>
            </w:r>
          </w:p>
        </w:tc>
      </w:tr>
      <w:tr w:rsidR="0075552D" w14:paraId="6CA601DC" w14:textId="77777777" w:rsidTr="002E43D9">
        <w:trPr>
          <w:trHeight w:val="289"/>
        </w:trPr>
        <w:tc>
          <w:tcPr>
            <w:tcW w:w="2880" w:type="dxa"/>
          </w:tcPr>
          <w:p w14:paraId="75C8C08E" w14:textId="77777777" w:rsidR="0075552D" w:rsidRDefault="0075552D" w:rsidP="0075552D">
            <w:pPr>
              <w:rPr>
                <w:b/>
              </w:rPr>
            </w:pPr>
          </w:p>
        </w:tc>
        <w:tc>
          <w:tcPr>
            <w:tcW w:w="535" w:type="dxa"/>
          </w:tcPr>
          <w:p w14:paraId="31900C5C" w14:textId="77777777" w:rsidR="0075552D" w:rsidRDefault="0075552D" w:rsidP="0075552D"/>
        </w:tc>
        <w:tc>
          <w:tcPr>
            <w:tcW w:w="488" w:type="dxa"/>
          </w:tcPr>
          <w:p w14:paraId="7E36FA2A" w14:textId="77777777" w:rsidR="0075552D" w:rsidRDefault="0075552D" w:rsidP="0075552D">
            <w:pPr>
              <w:jc w:val="center"/>
            </w:pPr>
            <w:r>
              <w:t>(c)</w:t>
            </w:r>
          </w:p>
        </w:tc>
        <w:tc>
          <w:tcPr>
            <w:tcW w:w="592" w:type="dxa"/>
          </w:tcPr>
          <w:p w14:paraId="1E2807CF" w14:textId="77777777" w:rsidR="0075552D" w:rsidRDefault="0075552D" w:rsidP="0075552D">
            <w:pPr>
              <w:jc w:val="center"/>
            </w:pPr>
          </w:p>
        </w:tc>
        <w:tc>
          <w:tcPr>
            <w:tcW w:w="6308" w:type="dxa"/>
          </w:tcPr>
          <w:p w14:paraId="00C04F11" w14:textId="19AD87D5" w:rsidR="0075552D" w:rsidRDefault="0075552D" w:rsidP="0075552D">
            <w:r>
              <w:t xml:space="preserve">The Authority shall prescribe, publish, and periodically review the schedule of fees and charges applicable to </w:t>
            </w:r>
            <w:r w:rsidR="00C97474">
              <w:t>S-</w:t>
            </w:r>
            <w:r>
              <w:t>VASPs, including:</w:t>
            </w:r>
          </w:p>
        </w:tc>
      </w:tr>
      <w:tr w:rsidR="0075552D" w14:paraId="5EC9301A" w14:textId="77777777" w:rsidTr="002E43D9">
        <w:trPr>
          <w:trHeight w:val="289"/>
        </w:trPr>
        <w:tc>
          <w:tcPr>
            <w:tcW w:w="2880" w:type="dxa"/>
          </w:tcPr>
          <w:p w14:paraId="37A24817" w14:textId="77777777" w:rsidR="0075552D" w:rsidRDefault="0075552D" w:rsidP="0075552D">
            <w:pPr>
              <w:rPr>
                <w:b/>
              </w:rPr>
            </w:pPr>
          </w:p>
        </w:tc>
        <w:tc>
          <w:tcPr>
            <w:tcW w:w="535" w:type="dxa"/>
          </w:tcPr>
          <w:p w14:paraId="67B46069" w14:textId="77777777" w:rsidR="0075552D" w:rsidRDefault="0075552D" w:rsidP="0075552D"/>
        </w:tc>
        <w:tc>
          <w:tcPr>
            <w:tcW w:w="488" w:type="dxa"/>
          </w:tcPr>
          <w:p w14:paraId="0DE395FB" w14:textId="77777777" w:rsidR="0075552D" w:rsidRDefault="0075552D" w:rsidP="0075552D">
            <w:pPr>
              <w:jc w:val="center"/>
            </w:pPr>
          </w:p>
        </w:tc>
        <w:tc>
          <w:tcPr>
            <w:tcW w:w="592" w:type="dxa"/>
          </w:tcPr>
          <w:p w14:paraId="6EFD7EFE" w14:textId="77777777" w:rsidR="0075552D" w:rsidRDefault="0075552D" w:rsidP="0075552D">
            <w:pPr>
              <w:jc w:val="center"/>
            </w:pPr>
            <w:r>
              <w:t>I</w:t>
            </w:r>
          </w:p>
        </w:tc>
        <w:tc>
          <w:tcPr>
            <w:tcW w:w="6308" w:type="dxa"/>
          </w:tcPr>
          <w:p w14:paraId="0DFDDB0D" w14:textId="77777777" w:rsidR="0075552D" w:rsidRDefault="0075552D" w:rsidP="0075552D">
            <w:r>
              <w:t>Application fees for Tier 1, Tier 2, and Tier 3 licenses;</w:t>
            </w:r>
          </w:p>
        </w:tc>
      </w:tr>
      <w:tr w:rsidR="0075552D" w14:paraId="7EAE9FB8" w14:textId="77777777" w:rsidTr="002E43D9">
        <w:trPr>
          <w:trHeight w:val="289"/>
        </w:trPr>
        <w:tc>
          <w:tcPr>
            <w:tcW w:w="2880" w:type="dxa"/>
          </w:tcPr>
          <w:p w14:paraId="67473FFE" w14:textId="77777777" w:rsidR="0075552D" w:rsidRDefault="0075552D" w:rsidP="0075552D">
            <w:pPr>
              <w:rPr>
                <w:b/>
              </w:rPr>
            </w:pPr>
          </w:p>
        </w:tc>
        <w:tc>
          <w:tcPr>
            <w:tcW w:w="535" w:type="dxa"/>
          </w:tcPr>
          <w:p w14:paraId="336ED85A" w14:textId="77777777" w:rsidR="0075552D" w:rsidRDefault="0075552D" w:rsidP="0075552D"/>
        </w:tc>
        <w:tc>
          <w:tcPr>
            <w:tcW w:w="488" w:type="dxa"/>
          </w:tcPr>
          <w:p w14:paraId="3E6ECFCF" w14:textId="77777777" w:rsidR="0075552D" w:rsidRDefault="0075552D" w:rsidP="0075552D">
            <w:pPr>
              <w:jc w:val="center"/>
            </w:pPr>
          </w:p>
        </w:tc>
        <w:tc>
          <w:tcPr>
            <w:tcW w:w="592" w:type="dxa"/>
          </w:tcPr>
          <w:p w14:paraId="3C270D3E" w14:textId="77777777" w:rsidR="0075552D" w:rsidRDefault="0075552D" w:rsidP="0075552D">
            <w:pPr>
              <w:jc w:val="center"/>
            </w:pPr>
            <w:r>
              <w:t>II</w:t>
            </w:r>
          </w:p>
        </w:tc>
        <w:tc>
          <w:tcPr>
            <w:tcW w:w="6308" w:type="dxa"/>
          </w:tcPr>
          <w:p w14:paraId="4133E395" w14:textId="4212B339" w:rsidR="0075552D" w:rsidRDefault="00C97474" w:rsidP="0075552D">
            <w:r>
              <w:t>R</w:t>
            </w:r>
            <w:r w:rsidR="0075552D">
              <w:t>enewal fees;</w:t>
            </w:r>
          </w:p>
        </w:tc>
      </w:tr>
      <w:tr w:rsidR="0075552D" w14:paraId="218891F4" w14:textId="77777777" w:rsidTr="002E43D9">
        <w:trPr>
          <w:trHeight w:val="289"/>
        </w:trPr>
        <w:tc>
          <w:tcPr>
            <w:tcW w:w="2880" w:type="dxa"/>
          </w:tcPr>
          <w:p w14:paraId="0C3258D2" w14:textId="77777777" w:rsidR="0075552D" w:rsidRDefault="0075552D" w:rsidP="0075552D">
            <w:pPr>
              <w:rPr>
                <w:b/>
              </w:rPr>
            </w:pPr>
          </w:p>
        </w:tc>
        <w:tc>
          <w:tcPr>
            <w:tcW w:w="535" w:type="dxa"/>
          </w:tcPr>
          <w:p w14:paraId="02863740" w14:textId="77777777" w:rsidR="0075552D" w:rsidRDefault="0075552D" w:rsidP="0075552D"/>
        </w:tc>
        <w:tc>
          <w:tcPr>
            <w:tcW w:w="488" w:type="dxa"/>
          </w:tcPr>
          <w:p w14:paraId="7202463F" w14:textId="77777777" w:rsidR="0075552D" w:rsidRDefault="0075552D" w:rsidP="0075552D">
            <w:pPr>
              <w:jc w:val="center"/>
            </w:pPr>
          </w:p>
        </w:tc>
        <w:tc>
          <w:tcPr>
            <w:tcW w:w="592" w:type="dxa"/>
          </w:tcPr>
          <w:p w14:paraId="5C4DE156" w14:textId="77777777" w:rsidR="0075552D" w:rsidRDefault="0075552D" w:rsidP="0075552D">
            <w:pPr>
              <w:jc w:val="center"/>
            </w:pPr>
            <w:r>
              <w:t>III</w:t>
            </w:r>
          </w:p>
        </w:tc>
        <w:tc>
          <w:tcPr>
            <w:tcW w:w="6308" w:type="dxa"/>
          </w:tcPr>
          <w:p w14:paraId="32CA9A27" w14:textId="6E80B202" w:rsidR="0075552D" w:rsidRDefault="00C97474" w:rsidP="0075552D">
            <w:r>
              <w:t xml:space="preserve">License fees. </w:t>
            </w:r>
          </w:p>
        </w:tc>
      </w:tr>
      <w:tr w:rsidR="0075552D" w14:paraId="78E43EB0" w14:textId="77777777" w:rsidTr="002E43D9">
        <w:trPr>
          <w:trHeight w:val="289"/>
        </w:trPr>
        <w:tc>
          <w:tcPr>
            <w:tcW w:w="2880" w:type="dxa"/>
          </w:tcPr>
          <w:p w14:paraId="6E0354F8" w14:textId="77777777" w:rsidR="0075552D" w:rsidRDefault="0075552D" w:rsidP="0075552D">
            <w:pPr>
              <w:rPr>
                <w:b/>
              </w:rPr>
            </w:pPr>
          </w:p>
        </w:tc>
        <w:tc>
          <w:tcPr>
            <w:tcW w:w="535" w:type="dxa"/>
          </w:tcPr>
          <w:p w14:paraId="10DFAE4D" w14:textId="77777777" w:rsidR="0075552D" w:rsidRDefault="0075552D" w:rsidP="0075552D"/>
        </w:tc>
        <w:tc>
          <w:tcPr>
            <w:tcW w:w="488" w:type="dxa"/>
          </w:tcPr>
          <w:p w14:paraId="702E6B5B" w14:textId="77777777" w:rsidR="0075552D" w:rsidRDefault="0075552D" w:rsidP="0075552D">
            <w:pPr>
              <w:jc w:val="center"/>
            </w:pPr>
            <w:r>
              <w:t>(d)</w:t>
            </w:r>
          </w:p>
        </w:tc>
        <w:tc>
          <w:tcPr>
            <w:tcW w:w="592" w:type="dxa"/>
          </w:tcPr>
          <w:p w14:paraId="3FD9626B" w14:textId="77777777" w:rsidR="0075552D" w:rsidRDefault="0075552D" w:rsidP="0075552D">
            <w:pPr>
              <w:jc w:val="center"/>
            </w:pPr>
          </w:p>
        </w:tc>
        <w:tc>
          <w:tcPr>
            <w:tcW w:w="6308" w:type="dxa"/>
          </w:tcPr>
          <w:p w14:paraId="11A16D21" w14:textId="77777777" w:rsidR="0075552D" w:rsidRDefault="0075552D" w:rsidP="0075552D">
            <w:r>
              <w:t xml:space="preserve">The Authority may, where deemed appropriate, </w:t>
            </w:r>
            <w:r w:rsidRPr="008609E4">
              <w:rPr>
                <w:bCs/>
              </w:rPr>
              <w:t>waive or reduce</w:t>
            </w:r>
            <w:r>
              <w:t xml:space="preserve"> fees for entities participating in regulatory sandboxes, pilot programs, or other innovation initiatives.</w:t>
            </w:r>
          </w:p>
        </w:tc>
      </w:tr>
      <w:tr w:rsidR="0075552D" w14:paraId="692F65D9" w14:textId="77777777" w:rsidTr="002E43D9">
        <w:trPr>
          <w:trHeight w:val="289"/>
        </w:trPr>
        <w:tc>
          <w:tcPr>
            <w:tcW w:w="2880" w:type="dxa"/>
          </w:tcPr>
          <w:p w14:paraId="28054FEC" w14:textId="77777777" w:rsidR="0075552D" w:rsidRDefault="0075552D" w:rsidP="0075552D">
            <w:pPr>
              <w:rPr>
                <w:b/>
              </w:rPr>
            </w:pPr>
          </w:p>
        </w:tc>
        <w:tc>
          <w:tcPr>
            <w:tcW w:w="535" w:type="dxa"/>
          </w:tcPr>
          <w:p w14:paraId="6ED7C6AE" w14:textId="77777777" w:rsidR="0075552D" w:rsidRDefault="0075552D" w:rsidP="0075552D"/>
        </w:tc>
        <w:tc>
          <w:tcPr>
            <w:tcW w:w="488" w:type="dxa"/>
          </w:tcPr>
          <w:p w14:paraId="66EDF905" w14:textId="23528D37" w:rsidR="0075552D" w:rsidRDefault="0075552D" w:rsidP="0075552D">
            <w:pPr>
              <w:jc w:val="center"/>
            </w:pPr>
            <w:r>
              <w:t>(</w:t>
            </w:r>
            <w:r w:rsidR="001B2CC0">
              <w:t>e</w:t>
            </w:r>
            <w:r>
              <w:t>)</w:t>
            </w:r>
          </w:p>
        </w:tc>
        <w:tc>
          <w:tcPr>
            <w:tcW w:w="592" w:type="dxa"/>
          </w:tcPr>
          <w:p w14:paraId="52771FBD" w14:textId="77777777" w:rsidR="0075552D" w:rsidRDefault="0075552D" w:rsidP="0075552D">
            <w:pPr>
              <w:jc w:val="center"/>
            </w:pPr>
          </w:p>
        </w:tc>
        <w:tc>
          <w:tcPr>
            <w:tcW w:w="6308" w:type="dxa"/>
          </w:tcPr>
          <w:p w14:paraId="3F097738" w14:textId="07F4F230" w:rsidR="0075552D" w:rsidRDefault="0075552D" w:rsidP="0075552D">
            <w:r>
              <w:t xml:space="preserve">The Authority shall ensure transparency by </w:t>
            </w:r>
            <w:r w:rsidRPr="006A1631">
              <w:rPr>
                <w:bCs/>
              </w:rPr>
              <w:t>publishing the fee schedule on its official website</w:t>
            </w:r>
            <w:r w:rsidR="006A1631" w:rsidRPr="006A1631">
              <w:rPr>
                <w:bCs/>
              </w:rPr>
              <w:t>.</w:t>
            </w:r>
            <w:r w:rsidR="006A1631">
              <w:t xml:space="preserve"> </w:t>
            </w:r>
          </w:p>
        </w:tc>
      </w:tr>
      <w:tr w:rsidR="00547655" w14:paraId="72B55323" w14:textId="77777777" w:rsidTr="002E43D9">
        <w:trPr>
          <w:trHeight w:val="289"/>
        </w:trPr>
        <w:tc>
          <w:tcPr>
            <w:tcW w:w="2880" w:type="dxa"/>
          </w:tcPr>
          <w:p w14:paraId="602EB4D0" w14:textId="44264721" w:rsidR="00547655" w:rsidRDefault="00A66ED9" w:rsidP="00A66ED9">
            <w:pPr>
              <w:rPr>
                <w:b/>
              </w:rPr>
            </w:pPr>
            <w:r w:rsidRPr="00A66ED9">
              <w:rPr>
                <w:b/>
              </w:rPr>
              <w:t>Application of Stipulated Conditions</w:t>
            </w:r>
          </w:p>
        </w:tc>
        <w:tc>
          <w:tcPr>
            <w:tcW w:w="535" w:type="dxa"/>
          </w:tcPr>
          <w:p w14:paraId="7ADB6E58" w14:textId="3FAECC27" w:rsidR="00547655" w:rsidRDefault="00A66ED9" w:rsidP="0075552D">
            <w:r>
              <w:t>4</w:t>
            </w:r>
            <w:r w:rsidR="008C6479">
              <w:t>2</w:t>
            </w:r>
            <w:r w:rsidR="00F32D46">
              <w:t xml:space="preserve">. </w:t>
            </w:r>
          </w:p>
        </w:tc>
        <w:tc>
          <w:tcPr>
            <w:tcW w:w="488" w:type="dxa"/>
          </w:tcPr>
          <w:p w14:paraId="4F251D8E" w14:textId="77777777" w:rsidR="00547655" w:rsidRDefault="00547655" w:rsidP="0075552D">
            <w:pPr>
              <w:jc w:val="center"/>
            </w:pPr>
          </w:p>
        </w:tc>
        <w:tc>
          <w:tcPr>
            <w:tcW w:w="592" w:type="dxa"/>
          </w:tcPr>
          <w:p w14:paraId="5DEBA687" w14:textId="77777777" w:rsidR="00547655" w:rsidRDefault="00547655" w:rsidP="0075552D">
            <w:pPr>
              <w:jc w:val="center"/>
            </w:pPr>
          </w:p>
        </w:tc>
        <w:tc>
          <w:tcPr>
            <w:tcW w:w="6308" w:type="dxa"/>
          </w:tcPr>
          <w:p w14:paraId="34606FFF" w14:textId="582B3CA1" w:rsidR="00547655" w:rsidRDefault="00547655" w:rsidP="0075552D">
            <w:r>
              <w:t xml:space="preserve">The conditions stipulated in this Regulation concerning a Securities Virtual Assets Service Provider (SVASP) and a </w:t>
            </w:r>
            <w:r>
              <w:lastRenderedPageBreak/>
              <w:t xml:space="preserve">Securities Virtual Assets Trading Platform (SVATP) shall apply to </w:t>
            </w:r>
            <w:r w:rsidRPr="0089524D">
              <w:t xml:space="preserve">both the legal entity (SVASP) and the platform (SVATP), </w:t>
            </w:r>
            <w:r>
              <w:t>as relevant to their respective functions and operations.</w:t>
            </w:r>
          </w:p>
        </w:tc>
      </w:tr>
      <w:tr w:rsidR="0075552D" w14:paraId="626D65FC" w14:textId="77777777" w:rsidTr="002E43D9">
        <w:trPr>
          <w:trHeight w:val="289"/>
        </w:trPr>
        <w:tc>
          <w:tcPr>
            <w:tcW w:w="2880" w:type="dxa"/>
          </w:tcPr>
          <w:p w14:paraId="5A63331C" w14:textId="77777777" w:rsidR="0075552D" w:rsidRDefault="0075552D" w:rsidP="0075552D">
            <w:pPr>
              <w:rPr>
                <w:b/>
              </w:rPr>
            </w:pPr>
            <w:r>
              <w:rPr>
                <w:b/>
              </w:rPr>
              <w:lastRenderedPageBreak/>
              <w:t xml:space="preserve">Amendments to these regulations and Commencement </w:t>
            </w:r>
          </w:p>
        </w:tc>
        <w:tc>
          <w:tcPr>
            <w:tcW w:w="535" w:type="dxa"/>
          </w:tcPr>
          <w:p w14:paraId="2AACADFD" w14:textId="75CAEF2A" w:rsidR="0075552D" w:rsidRDefault="0075552D" w:rsidP="0075552D">
            <w:r>
              <w:t>4</w:t>
            </w:r>
            <w:r w:rsidR="008C6479">
              <w:t>3</w:t>
            </w:r>
            <w:r>
              <w:t>.</w:t>
            </w:r>
          </w:p>
        </w:tc>
        <w:tc>
          <w:tcPr>
            <w:tcW w:w="488" w:type="dxa"/>
          </w:tcPr>
          <w:p w14:paraId="3D9B7D34" w14:textId="77777777" w:rsidR="0075552D" w:rsidRDefault="0075552D" w:rsidP="0075552D">
            <w:pPr>
              <w:jc w:val="center"/>
            </w:pPr>
            <w:r>
              <w:t>(a)</w:t>
            </w:r>
          </w:p>
        </w:tc>
        <w:tc>
          <w:tcPr>
            <w:tcW w:w="592" w:type="dxa"/>
          </w:tcPr>
          <w:p w14:paraId="111F19DF" w14:textId="77777777" w:rsidR="0075552D" w:rsidRDefault="0075552D" w:rsidP="0075552D">
            <w:pPr>
              <w:jc w:val="center"/>
            </w:pPr>
          </w:p>
        </w:tc>
        <w:tc>
          <w:tcPr>
            <w:tcW w:w="6308" w:type="dxa"/>
          </w:tcPr>
          <w:p w14:paraId="71303BA7" w14:textId="77777777" w:rsidR="0075552D" w:rsidRDefault="0075552D" w:rsidP="0075552D">
            <w:r>
              <w:t xml:space="preserve">The Authority may make necessary amendments to this regulation. All amendments will have effect only upon publication in the official gazette. </w:t>
            </w:r>
          </w:p>
        </w:tc>
      </w:tr>
      <w:tr w:rsidR="0075552D" w14:paraId="045ADD30" w14:textId="77777777" w:rsidTr="002E43D9">
        <w:trPr>
          <w:trHeight w:val="289"/>
        </w:trPr>
        <w:tc>
          <w:tcPr>
            <w:tcW w:w="2880" w:type="dxa"/>
          </w:tcPr>
          <w:p w14:paraId="19EE592E" w14:textId="77777777" w:rsidR="0075552D" w:rsidRDefault="0075552D" w:rsidP="0075552D">
            <w:pPr>
              <w:rPr>
                <w:b/>
              </w:rPr>
            </w:pPr>
            <w:r>
              <w:rPr>
                <w:b/>
              </w:rPr>
              <w:t xml:space="preserve"> </w:t>
            </w:r>
          </w:p>
        </w:tc>
        <w:tc>
          <w:tcPr>
            <w:tcW w:w="535" w:type="dxa"/>
          </w:tcPr>
          <w:p w14:paraId="67DFEB03" w14:textId="77777777" w:rsidR="0075552D" w:rsidRDefault="0075552D" w:rsidP="0075552D"/>
        </w:tc>
        <w:tc>
          <w:tcPr>
            <w:tcW w:w="488" w:type="dxa"/>
          </w:tcPr>
          <w:p w14:paraId="1447BFDD" w14:textId="77777777" w:rsidR="0075552D" w:rsidRDefault="0075552D" w:rsidP="0075552D">
            <w:pPr>
              <w:jc w:val="center"/>
            </w:pPr>
            <w:r>
              <w:t>(b)</w:t>
            </w:r>
          </w:p>
        </w:tc>
        <w:tc>
          <w:tcPr>
            <w:tcW w:w="592" w:type="dxa"/>
          </w:tcPr>
          <w:p w14:paraId="1F9838BC" w14:textId="77777777" w:rsidR="0075552D" w:rsidRDefault="0075552D" w:rsidP="0075552D">
            <w:pPr>
              <w:jc w:val="center"/>
            </w:pPr>
          </w:p>
        </w:tc>
        <w:tc>
          <w:tcPr>
            <w:tcW w:w="6308" w:type="dxa"/>
          </w:tcPr>
          <w:p w14:paraId="2DC547A9" w14:textId="4ACCF839" w:rsidR="0075552D" w:rsidRDefault="0075552D" w:rsidP="0075552D">
            <w:r>
              <w:t>This regulation shall come into effect on the date it is published on the Gazette of Government of Maldives</w:t>
            </w:r>
            <w:r w:rsidR="008C6283">
              <w:t>.</w:t>
            </w:r>
            <w:r>
              <w:t xml:space="preserve"> </w:t>
            </w:r>
          </w:p>
        </w:tc>
      </w:tr>
    </w:tbl>
    <w:p w14:paraId="3F46779A" w14:textId="77777777" w:rsidR="00FE4834" w:rsidRDefault="00FE4834">
      <w:pPr>
        <w:rPr>
          <w:color w:val="EE0000"/>
        </w:rPr>
      </w:pPr>
    </w:p>
    <w:sectPr w:rsidR="00FE483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606E" w14:textId="77777777" w:rsidR="00C70742" w:rsidRDefault="00C70742" w:rsidP="00672037">
      <w:pPr>
        <w:spacing w:after="0" w:line="240" w:lineRule="auto"/>
      </w:pPr>
      <w:r>
        <w:separator/>
      </w:r>
    </w:p>
  </w:endnote>
  <w:endnote w:type="continuationSeparator" w:id="0">
    <w:p w14:paraId="7A9D4573" w14:textId="77777777" w:rsidR="00C70742" w:rsidRDefault="00C70742" w:rsidP="0067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868831"/>
      <w:docPartObj>
        <w:docPartGallery w:val="Page Numbers (Bottom of Page)"/>
        <w:docPartUnique/>
      </w:docPartObj>
    </w:sdtPr>
    <w:sdtEndPr>
      <w:rPr>
        <w:noProof/>
      </w:rPr>
    </w:sdtEndPr>
    <w:sdtContent>
      <w:p w14:paraId="5E883D4E" w14:textId="1E940228" w:rsidR="00672037" w:rsidRDefault="006720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F2247" w14:textId="77777777" w:rsidR="00672037" w:rsidRDefault="00672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8B9C" w14:textId="77777777" w:rsidR="00C70742" w:rsidRDefault="00C70742" w:rsidP="00672037">
      <w:pPr>
        <w:spacing w:after="0" w:line="240" w:lineRule="auto"/>
      </w:pPr>
      <w:r>
        <w:separator/>
      </w:r>
    </w:p>
  </w:footnote>
  <w:footnote w:type="continuationSeparator" w:id="0">
    <w:p w14:paraId="376EDD07" w14:textId="77777777" w:rsidR="00C70742" w:rsidRDefault="00C70742" w:rsidP="00672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9CCE" w14:textId="56D14C2D" w:rsidR="00672037" w:rsidRDefault="00000000">
    <w:pPr>
      <w:pStyle w:val="Header"/>
    </w:pPr>
    <w:r>
      <w:rPr>
        <w:noProof/>
      </w:rPr>
      <w:pict w14:anchorId="071F4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917485" o:spid="_x0000_s1026" type="#_x0000_t136" style="position:absolute;margin-left:0;margin-top:0;width:412.4pt;height:247.4pt;rotation:315;z-index:-25165516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1F24" w14:textId="20A9223C" w:rsidR="00672037" w:rsidRPr="00672037" w:rsidRDefault="00000000" w:rsidP="00E7117A">
    <w:pPr>
      <w:pStyle w:val="Header"/>
      <w:jc w:val="right"/>
      <w:rPr>
        <w:color w:val="EE0000"/>
      </w:rPr>
    </w:pPr>
    <w:r>
      <w:rPr>
        <w:noProof/>
        <w:color w:val="EE0000"/>
      </w:rPr>
      <w:pict w14:anchorId="49F34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917486" o:spid="_x0000_s1027" type="#_x0000_t136" style="position:absolute;left:0;text-align:left;margin-left:0;margin-top:0;width:412.4pt;height:247.4pt;rotation:315;z-index:-25165312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r w:rsidR="00672037" w:rsidRPr="00672037">
      <w:rPr>
        <w:color w:val="EE0000"/>
      </w:rPr>
      <w:t>Draft for Public Consultation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5273" w14:textId="4F54E42B" w:rsidR="00672037" w:rsidRDefault="00000000">
    <w:pPr>
      <w:pStyle w:val="Header"/>
    </w:pPr>
    <w:r>
      <w:rPr>
        <w:noProof/>
      </w:rPr>
      <w:pict w14:anchorId="56B3E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917484" o:spid="_x0000_s1025" type="#_x0000_t136" style="position:absolute;margin-left:0;margin-top:0;width:412.4pt;height:247.4pt;rotation:315;z-index:-251657216;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A2CA4"/>
    <w:multiLevelType w:val="multilevel"/>
    <w:tmpl w:val="98A2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152FF"/>
    <w:multiLevelType w:val="hybridMultilevel"/>
    <w:tmpl w:val="7296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664179">
    <w:abstractNumId w:val="0"/>
  </w:num>
  <w:num w:numId="2" w16cid:durableId="251472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34"/>
    <w:rsid w:val="00000F7F"/>
    <w:rsid w:val="0002321C"/>
    <w:rsid w:val="00033089"/>
    <w:rsid w:val="00036D9B"/>
    <w:rsid w:val="0003723A"/>
    <w:rsid w:val="000407F5"/>
    <w:rsid w:val="00046D95"/>
    <w:rsid w:val="000537F4"/>
    <w:rsid w:val="00054DC6"/>
    <w:rsid w:val="0005533A"/>
    <w:rsid w:val="00062544"/>
    <w:rsid w:val="0006763C"/>
    <w:rsid w:val="0007458D"/>
    <w:rsid w:val="0008538D"/>
    <w:rsid w:val="000870FA"/>
    <w:rsid w:val="000933BD"/>
    <w:rsid w:val="000A465D"/>
    <w:rsid w:val="000A5C46"/>
    <w:rsid w:val="000B512F"/>
    <w:rsid w:val="000B5614"/>
    <w:rsid w:val="000B792D"/>
    <w:rsid w:val="000D1361"/>
    <w:rsid w:val="000D2273"/>
    <w:rsid w:val="000D408D"/>
    <w:rsid w:val="000E4CE5"/>
    <w:rsid w:val="000F7151"/>
    <w:rsid w:val="00100AA6"/>
    <w:rsid w:val="0010125C"/>
    <w:rsid w:val="00101A38"/>
    <w:rsid w:val="001044AB"/>
    <w:rsid w:val="0010518E"/>
    <w:rsid w:val="0010788B"/>
    <w:rsid w:val="0011732C"/>
    <w:rsid w:val="001233B4"/>
    <w:rsid w:val="001266D8"/>
    <w:rsid w:val="001408BD"/>
    <w:rsid w:val="00140C53"/>
    <w:rsid w:val="00143049"/>
    <w:rsid w:val="00155C6B"/>
    <w:rsid w:val="001624A3"/>
    <w:rsid w:val="00171B16"/>
    <w:rsid w:val="001720E4"/>
    <w:rsid w:val="00180E42"/>
    <w:rsid w:val="00180EF8"/>
    <w:rsid w:val="001832DC"/>
    <w:rsid w:val="00184458"/>
    <w:rsid w:val="0019203B"/>
    <w:rsid w:val="00193343"/>
    <w:rsid w:val="00197746"/>
    <w:rsid w:val="001A1E0E"/>
    <w:rsid w:val="001A48E8"/>
    <w:rsid w:val="001A6C9B"/>
    <w:rsid w:val="001A7E62"/>
    <w:rsid w:val="001B2CC0"/>
    <w:rsid w:val="001C0572"/>
    <w:rsid w:val="001C13BA"/>
    <w:rsid w:val="001C4B39"/>
    <w:rsid w:val="001C5B76"/>
    <w:rsid w:val="001F69BB"/>
    <w:rsid w:val="002333F7"/>
    <w:rsid w:val="00233BA1"/>
    <w:rsid w:val="00234FE3"/>
    <w:rsid w:val="002543D1"/>
    <w:rsid w:val="002607AC"/>
    <w:rsid w:val="00262811"/>
    <w:rsid w:val="00263576"/>
    <w:rsid w:val="00263F69"/>
    <w:rsid w:val="002641D8"/>
    <w:rsid w:val="00274950"/>
    <w:rsid w:val="00275EA8"/>
    <w:rsid w:val="00281081"/>
    <w:rsid w:val="00281C20"/>
    <w:rsid w:val="00283DD3"/>
    <w:rsid w:val="002912B8"/>
    <w:rsid w:val="0029325A"/>
    <w:rsid w:val="002A3C7C"/>
    <w:rsid w:val="002B203C"/>
    <w:rsid w:val="002C31C1"/>
    <w:rsid w:val="002C5BF6"/>
    <w:rsid w:val="002D6D49"/>
    <w:rsid w:val="002E43D9"/>
    <w:rsid w:val="002E504B"/>
    <w:rsid w:val="002E5A47"/>
    <w:rsid w:val="002E75FC"/>
    <w:rsid w:val="002F0217"/>
    <w:rsid w:val="002F3664"/>
    <w:rsid w:val="002F441D"/>
    <w:rsid w:val="002F5740"/>
    <w:rsid w:val="00304214"/>
    <w:rsid w:val="00311023"/>
    <w:rsid w:val="00313C7C"/>
    <w:rsid w:val="00317089"/>
    <w:rsid w:val="003178CD"/>
    <w:rsid w:val="00330341"/>
    <w:rsid w:val="00332381"/>
    <w:rsid w:val="0033240D"/>
    <w:rsid w:val="00344F82"/>
    <w:rsid w:val="00354927"/>
    <w:rsid w:val="00354BCB"/>
    <w:rsid w:val="003625B2"/>
    <w:rsid w:val="00383E12"/>
    <w:rsid w:val="00385C36"/>
    <w:rsid w:val="00390A0F"/>
    <w:rsid w:val="00395CBA"/>
    <w:rsid w:val="003A51D4"/>
    <w:rsid w:val="003B4F6E"/>
    <w:rsid w:val="003C7D5F"/>
    <w:rsid w:val="003D36D9"/>
    <w:rsid w:val="003D3B2A"/>
    <w:rsid w:val="003D77F6"/>
    <w:rsid w:val="003E586F"/>
    <w:rsid w:val="003E770E"/>
    <w:rsid w:val="003F41B5"/>
    <w:rsid w:val="004030E1"/>
    <w:rsid w:val="00404AA9"/>
    <w:rsid w:val="00416DFA"/>
    <w:rsid w:val="004317C0"/>
    <w:rsid w:val="004351FC"/>
    <w:rsid w:val="0044479F"/>
    <w:rsid w:val="0045387F"/>
    <w:rsid w:val="00453EBF"/>
    <w:rsid w:val="0047221A"/>
    <w:rsid w:val="00472389"/>
    <w:rsid w:val="004732F4"/>
    <w:rsid w:val="00487AC3"/>
    <w:rsid w:val="00496FA0"/>
    <w:rsid w:val="00497DB1"/>
    <w:rsid w:val="004A15EF"/>
    <w:rsid w:val="004A24D1"/>
    <w:rsid w:val="004A5F2F"/>
    <w:rsid w:val="004B17E8"/>
    <w:rsid w:val="004E06BE"/>
    <w:rsid w:val="004E0BB7"/>
    <w:rsid w:val="004E6824"/>
    <w:rsid w:val="004E7A2A"/>
    <w:rsid w:val="004F1236"/>
    <w:rsid w:val="004F1EA8"/>
    <w:rsid w:val="004F467C"/>
    <w:rsid w:val="00501575"/>
    <w:rsid w:val="00520278"/>
    <w:rsid w:val="00522F60"/>
    <w:rsid w:val="00533285"/>
    <w:rsid w:val="00534E78"/>
    <w:rsid w:val="00535E1C"/>
    <w:rsid w:val="00547655"/>
    <w:rsid w:val="005508D3"/>
    <w:rsid w:val="00562251"/>
    <w:rsid w:val="0056512D"/>
    <w:rsid w:val="005714D1"/>
    <w:rsid w:val="00572C9F"/>
    <w:rsid w:val="00584017"/>
    <w:rsid w:val="00585AFE"/>
    <w:rsid w:val="00591D39"/>
    <w:rsid w:val="005A2674"/>
    <w:rsid w:val="005A5FBA"/>
    <w:rsid w:val="005B1DEC"/>
    <w:rsid w:val="005B1EFD"/>
    <w:rsid w:val="005B4F1A"/>
    <w:rsid w:val="005C4D2C"/>
    <w:rsid w:val="005C6D82"/>
    <w:rsid w:val="005C7394"/>
    <w:rsid w:val="005D1E52"/>
    <w:rsid w:val="005D1FDA"/>
    <w:rsid w:val="005D4E30"/>
    <w:rsid w:val="005D6D42"/>
    <w:rsid w:val="005E19F0"/>
    <w:rsid w:val="005F243F"/>
    <w:rsid w:val="005F650E"/>
    <w:rsid w:val="00601E2A"/>
    <w:rsid w:val="00616FC0"/>
    <w:rsid w:val="0062099C"/>
    <w:rsid w:val="0062363D"/>
    <w:rsid w:val="00630155"/>
    <w:rsid w:val="00632022"/>
    <w:rsid w:val="006343A7"/>
    <w:rsid w:val="00644547"/>
    <w:rsid w:val="00645ADB"/>
    <w:rsid w:val="006531CF"/>
    <w:rsid w:val="00653A21"/>
    <w:rsid w:val="00655578"/>
    <w:rsid w:val="00656762"/>
    <w:rsid w:val="00665638"/>
    <w:rsid w:val="00665E27"/>
    <w:rsid w:val="00670AED"/>
    <w:rsid w:val="00671208"/>
    <w:rsid w:val="00672037"/>
    <w:rsid w:val="0067261D"/>
    <w:rsid w:val="006760B7"/>
    <w:rsid w:val="00682099"/>
    <w:rsid w:val="00696741"/>
    <w:rsid w:val="006A1631"/>
    <w:rsid w:val="006A6391"/>
    <w:rsid w:val="006C123E"/>
    <w:rsid w:val="006C727A"/>
    <w:rsid w:val="006C7AD9"/>
    <w:rsid w:val="006C7D65"/>
    <w:rsid w:val="006D3C7B"/>
    <w:rsid w:val="006E65D9"/>
    <w:rsid w:val="006E6A9A"/>
    <w:rsid w:val="006F0DA4"/>
    <w:rsid w:val="006F40C1"/>
    <w:rsid w:val="00703F66"/>
    <w:rsid w:val="007107B8"/>
    <w:rsid w:val="007147BB"/>
    <w:rsid w:val="007165E9"/>
    <w:rsid w:val="00717600"/>
    <w:rsid w:val="00724C7D"/>
    <w:rsid w:val="00727101"/>
    <w:rsid w:val="00732302"/>
    <w:rsid w:val="007474FC"/>
    <w:rsid w:val="0075552D"/>
    <w:rsid w:val="00770D6D"/>
    <w:rsid w:val="00771FD5"/>
    <w:rsid w:val="00773C20"/>
    <w:rsid w:val="00776AC3"/>
    <w:rsid w:val="00776BB8"/>
    <w:rsid w:val="00780BBA"/>
    <w:rsid w:val="00791324"/>
    <w:rsid w:val="00796118"/>
    <w:rsid w:val="007A1AE1"/>
    <w:rsid w:val="007A3498"/>
    <w:rsid w:val="007A7488"/>
    <w:rsid w:val="007A748A"/>
    <w:rsid w:val="007B08D1"/>
    <w:rsid w:val="007B46B4"/>
    <w:rsid w:val="007C1237"/>
    <w:rsid w:val="007C3F48"/>
    <w:rsid w:val="007D4D96"/>
    <w:rsid w:val="007D61C1"/>
    <w:rsid w:val="007E0034"/>
    <w:rsid w:val="007E1E72"/>
    <w:rsid w:val="007E51FF"/>
    <w:rsid w:val="007E59C1"/>
    <w:rsid w:val="007E5AAE"/>
    <w:rsid w:val="007E7CD7"/>
    <w:rsid w:val="00801718"/>
    <w:rsid w:val="008050C6"/>
    <w:rsid w:val="00814AB1"/>
    <w:rsid w:val="00815532"/>
    <w:rsid w:val="00831ACF"/>
    <w:rsid w:val="00833115"/>
    <w:rsid w:val="008408D8"/>
    <w:rsid w:val="00845EFB"/>
    <w:rsid w:val="00857D81"/>
    <w:rsid w:val="008609E4"/>
    <w:rsid w:val="00862942"/>
    <w:rsid w:val="00870EC6"/>
    <w:rsid w:val="008778DD"/>
    <w:rsid w:val="0089524D"/>
    <w:rsid w:val="00895BBD"/>
    <w:rsid w:val="008B05AF"/>
    <w:rsid w:val="008B2A58"/>
    <w:rsid w:val="008B5B41"/>
    <w:rsid w:val="008C07E1"/>
    <w:rsid w:val="008C6283"/>
    <w:rsid w:val="008C6479"/>
    <w:rsid w:val="008D07CF"/>
    <w:rsid w:val="008E6E3F"/>
    <w:rsid w:val="008E7EE8"/>
    <w:rsid w:val="008F4325"/>
    <w:rsid w:val="009005D2"/>
    <w:rsid w:val="009054EB"/>
    <w:rsid w:val="00906960"/>
    <w:rsid w:val="00916927"/>
    <w:rsid w:val="009211E9"/>
    <w:rsid w:val="009278EA"/>
    <w:rsid w:val="00943965"/>
    <w:rsid w:val="009449D8"/>
    <w:rsid w:val="00944E10"/>
    <w:rsid w:val="009505A7"/>
    <w:rsid w:val="00953902"/>
    <w:rsid w:val="00955741"/>
    <w:rsid w:val="00955D98"/>
    <w:rsid w:val="00955E2E"/>
    <w:rsid w:val="00956379"/>
    <w:rsid w:val="00960B74"/>
    <w:rsid w:val="00962A04"/>
    <w:rsid w:val="009659EE"/>
    <w:rsid w:val="00966E9E"/>
    <w:rsid w:val="00975C97"/>
    <w:rsid w:val="00976A17"/>
    <w:rsid w:val="00977364"/>
    <w:rsid w:val="00984B29"/>
    <w:rsid w:val="00984E52"/>
    <w:rsid w:val="00986747"/>
    <w:rsid w:val="00986C75"/>
    <w:rsid w:val="00994B67"/>
    <w:rsid w:val="009A3174"/>
    <w:rsid w:val="009A7A47"/>
    <w:rsid w:val="009D5301"/>
    <w:rsid w:val="009E0F1E"/>
    <w:rsid w:val="009E3F40"/>
    <w:rsid w:val="009F1104"/>
    <w:rsid w:val="009F1E49"/>
    <w:rsid w:val="009F595D"/>
    <w:rsid w:val="009F78EF"/>
    <w:rsid w:val="00A03922"/>
    <w:rsid w:val="00A10027"/>
    <w:rsid w:val="00A16D10"/>
    <w:rsid w:val="00A20E12"/>
    <w:rsid w:val="00A249ED"/>
    <w:rsid w:val="00A31E38"/>
    <w:rsid w:val="00A42EF2"/>
    <w:rsid w:val="00A437D1"/>
    <w:rsid w:val="00A5239F"/>
    <w:rsid w:val="00A52F03"/>
    <w:rsid w:val="00A63AE5"/>
    <w:rsid w:val="00A63CA7"/>
    <w:rsid w:val="00A66ED9"/>
    <w:rsid w:val="00A67343"/>
    <w:rsid w:val="00A72540"/>
    <w:rsid w:val="00A861C2"/>
    <w:rsid w:val="00A87C69"/>
    <w:rsid w:val="00A92139"/>
    <w:rsid w:val="00A9307B"/>
    <w:rsid w:val="00A932D2"/>
    <w:rsid w:val="00A949EC"/>
    <w:rsid w:val="00A952CA"/>
    <w:rsid w:val="00AA6497"/>
    <w:rsid w:val="00AB37C0"/>
    <w:rsid w:val="00AB3ED7"/>
    <w:rsid w:val="00AC371F"/>
    <w:rsid w:val="00AC3F4C"/>
    <w:rsid w:val="00AC5D47"/>
    <w:rsid w:val="00AD721C"/>
    <w:rsid w:val="00AD7AE7"/>
    <w:rsid w:val="00AE3C99"/>
    <w:rsid w:val="00AF67BF"/>
    <w:rsid w:val="00AF7BDD"/>
    <w:rsid w:val="00B02223"/>
    <w:rsid w:val="00B1019A"/>
    <w:rsid w:val="00B11063"/>
    <w:rsid w:val="00B12761"/>
    <w:rsid w:val="00B151A1"/>
    <w:rsid w:val="00B17C1C"/>
    <w:rsid w:val="00B219AD"/>
    <w:rsid w:val="00B312D2"/>
    <w:rsid w:val="00B334CC"/>
    <w:rsid w:val="00B37CFD"/>
    <w:rsid w:val="00B4278B"/>
    <w:rsid w:val="00B4507E"/>
    <w:rsid w:val="00B458A8"/>
    <w:rsid w:val="00B5437B"/>
    <w:rsid w:val="00B55517"/>
    <w:rsid w:val="00B60398"/>
    <w:rsid w:val="00B63F59"/>
    <w:rsid w:val="00B709A8"/>
    <w:rsid w:val="00B7326E"/>
    <w:rsid w:val="00B75030"/>
    <w:rsid w:val="00B76051"/>
    <w:rsid w:val="00B83E2E"/>
    <w:rsid w:val="00B864BF"/>
    <w:rsid w:val="00BA5A25"/>
    <w:rsid w:val="00BA602B"/>
    <w:rsid w:val="00BA6DF4"/>
    <w:rsid w:val="00BA6E4C"/>
    <w:rsid w:val="00BB5510"/>
    <w:rsid w:val="00BD0076"/>
    <w:rsid w:val="00BD2E96"/>
    <w:rsid w:val="00BD4DF8"/>
    <w:rsid w:val="00BD61CC"/>
    <w:rsid w:val="00BE1D6B"/>
    <w:rsid w:val="00BE5E22"/>
    <w:rsid w:val="00BE6629"/>
    <w:rsid w:val="00BE78CD"/>
    <w:rsid w:val="00C031B5"/>
    <w:rsid w:val="00C10645"/>
    <w:rsid w:val="00C1213A"/>
    <w:rsid w:val="00C13E28"/>
    <w:rsid w:val="00C141E3"/>
    <w:rsid w:val="00C146D5"/>
    <w:rsid w:val="00C175A2"/>
    <w:rsid w:val="00C20B26"/>
    <w:rsid w:val="00C20D8A"/>
    <w:rsid w:val="00C27F96"/>
    <w:rsid w:val="00C35994"/>
    <w:rsid w:val="00C426F7"/>
    <w:rsid w:val="00C51833"/>
    <w:rsid w:val="00C55519"/>
    <w:rsid w:val="00C600D4"/>
    <w:rsid w:val="00C62351"/>
    <w:rsid w:val="00C674ED"/>
    <w:rsid w:val="00C70742"/>
    <w:rsid w:val="00C745E2"/>
    <w:rsid w:val="00C94DC0"/>
    <w:rsid w:val="00C97474"/>
    <w:rsid w:val="00CD2370"/>
    <w:rsid w:val="00CD7FE3"/>
    <w:rsid w:val="00CE12F0"/>
    <w:rsid w:val="00CE5866"/>
    <w:rsid w:val="00CF1DD0"/>
    <w:rsid w:val="00CF3EA3"/>
    <w:rsid w:val="00D1040B"/>
    <w:rsid w:val="00D119B8"/>
    <w:rsid w:val="00D15EB6"/>
    <w:rsid w:val="00D204B4"/>
    <w:rsid w:val="00D33551"/>
    <w:rsid w:val="00D37B34"/>
    <w:rsid w:val="00D43B55"/>
    <w:rsid w:val="00D43BCF"/>
    <w:rsid w:val="00D52945"/>
    <w:rsid w:val="00D65166"/>
    <w:rsid w:val="00D71855"/>
    <w:rsid w:val="00D80BD5"/>
    <w:rsid w:val="00D86F6D"/>
    <w:rsid w:val="00DA1E49"/>
    <w:rsid w:val="00DA7C8A"/>
    <w:rsid w:val="00DB3E51"/>
    <w:rsid w:val="00DB715C"/>
    <w:rsid w:val="00DC2524"/>
    <w:rsid w:val="00DD456D"/>
    <w:rsid w:val="00DE0A01"/>
    <w:rsid w:val="00DE4C25"/>
    <w:rsid w:val="00DE533F"/>
    <w:rsid w:val="00E02A97"/>
    <w:rsid w:val="00E120E6"/>
    <w:rsid w:val="00E13119"/>
    <w:rsid w:val="00E21500"/>
    <w:rsid w:val="00E26089"/>
    <w:rsid w:val="00E31EE4"/>
    <w:rsid w:val="00E37FF3"/>
    <w:rsid w:val="00E41BB5"/>
    <w:rsid w:val="00E4379C"/>
    <w:rsid w:val="00E447A8"/>
    <w:rsid w:val="00E46F11"/>
    <w:rsid w:val="00E47F1A"/>
    <w:rsid w:val="00E5228F"/>
    <w:rsid w:val="00E65A01"/>
    <w:rsid w:val="00E7117A"/>
    <w:rsid w:val="00E71D45"/>
    <w:rsid w:val="00E82E35"/>
    <w:rsid w:val="00E83138"/>
    <w:rsid w:val="00E8637D"/>
    <w:rsid w:val="00E8650F"/>
    <w:rsid w:val="00E91AB3"/>
    <w:rsid w:val="00EA1290"/>
    <w:rsid w:val="00EA3E67"/>
    <w:rsid w:val="00EA514B"/>
    <w:rsid w:val="00EA6F57"/>
    <w:rsid w:val="00EC458B"/>
    <w:rsid w:val="00EC762F"/>
    <w:rsid w:val="00ED7316"/>
    <w:rsid w:val="00EE18D9"/>
    <w:rsid w:val="00EF0788"/>
    <w:rsid w:val="00EF3E31"/>
    <w:rsid w:val="00F0142F"/>
    <w:rsid w:val="00F07671"/>
    <w:rsid w:val="00F10FF7"/>
    <w:rsid w:val="00F15474"/>
    <w:rsid w:val="00F161B9"/>
    <w:rsid w:val="00F21C2D"/>
    <w:rsid w:val="00F30E18"/>
    <w:rsid w:val="00F32D46"/>
    <w:rsid w:val="00F378CA"/>
    <w:rsid w:val="00F40420"/>
    <w:rsid w:val="00F44C7D"/>
    <w:rsid w:val="00F46A7E"/>
    <w:rsid w:val="00F50ECF"/>
    <w:rsid w:val="00F606E1"/>
    <w:rsid w:val="00F72379"/>
    <w:rsid w:val="00F7402A"/>
    <w:rsid w:val="00F84FC7"/>
    <w:rsid w:val="00F85EE6"/>
    <w:rsid w:val="00F931DE"/>
    <w:rsid w:val="00F93C85"/>
    <w:rsid w:val="00F95841"/>
    <w:rsid w:val="00F97A83"/>
    <w:rsid w:val="00FA5765"/>
    <w:rsid w:val="00FA6A95"/>
    <w:rsid w:val="00FB1EEF"/>
    <w:rsid w:val="00FB2627"/>
    <w:rsid w:val="00FB2C65"/>
    <w:rsid w:val="00FC13C4"/>
    <w:rsid w:val="00FC4807"/>
    <w:rsid w:val="00FD206E"/>
    <w:rsid w:val="00FD6BD2"/>
    <w:rsid w:val="00FE25E6"/>
    <w:rsid w:val="00FE4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E12C5"/>
  <w15:docId w15:val="{CED31D57-6728-4AEA-84BE-50715D4B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A1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1A11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1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1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1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1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1DD"/>
    <w:rPr>
      <w:rFonts w:eastAsiaTheme="majorEastAsia" w:cstheme="majorBidi"/>
      <w:color w:val="272727" w:themeColor="text1" w:themeTint="D8"/>
    </w:rPr>
  </w:style>
  <w:style w:type="character" w:customStyle="1" w:styleId="TitleChar">
    <w:name w:val="Title Char"/>
    <w:basedOn w:val="DefaultParagraphFont"/>
    <w:link w:val="Title"/>
    <w:uiPriority w:val="10"/>
    <w:rsid w:val="001A11D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A1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1DD"/>
    <w:pPr>
      <w:spacing w:before="160"/>
      <w:jc w:val="center"/>
    </w:pPr>
    <w:rPr>
      <w:i/>
      <w:iCs/>
      <w:color w:val="404040" w:themeColor="text1" w:themeTint="BF"/>
    </w:rPr>
  </w:style>
  <w:style w:type="character" w:customStyle="1" w:styleId="QuoteChar">
    <w:name w:val="Quote Char"/>
    <w:basedOn w:val="DefaultParagraphFont"/>
    <w:link w:val="Quote"/>
    <w:uiPriority w:val="29"/>
    <w:rsid w:val="001A11DD"/>
    <w:rPr>
      <w:i/>
      <w:iCs/>
      <w:color w:val="404040" w:themeColor="text1" w:themeTint="BF"/>
    </w:rPr>
  </w:style>
  <w:style w:type="paragraph" w:styleId="ListParagraph">
    <w:name w:val="List Paragraph"/>
    <w:basedOn w:val="Normal"/>
    <w:uiPriority w:val="34"/>
    <w:qFormat/>
    <w:rsid w:val="001A11DD"/>
    <w:pPr>
      <w:ind w:left="720"/>
      <w:contextualSpacing/>
    </w:pPr>
  </w:style>
  <w:style w:type="character" w:styleId="IntenseEmphasis">
    <w:name w:val="Intense Emphasis"/>
    <w:basedOn w:val="DefaultParagraphFont"/>
    <w:uiPriority w:val="21"/>
    <w:qFormat/>
    <w:rsid w:val="001A11DD"/>
    <w:rPr>
      <w:i/>
      <w:iCs/>
      <w:color w:val="2F5496" w:themeColor="accent1" w:themeShade="BF"/>
    </w:rPr>
  </w:style>
  <w:style w:type="paragraph" w:styleId="IntenseQuote">
    <w:name w:val="Intense Quote"/>
    <w:basedOn w:val="Normal"/>
    <w:next w:val="Normal"/>
    <w:link w:val="IntenseQuoteChar"/>
    <w:uiPriority w:val="30"/>
    <w:qFormat/>
    <w:rsid w:val="001A1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1DD"/>
    <w:rPr>
      <w:i/>
      <w:iCs/>
      <w:color w:val="2F5496" w:themeColor="accent1" w:themeShade="BF"/>
    </w:rPr>
  </w:style>
  <w:style w:type="character" w:styleId="IntenseReference">
    <w:name w:val="Intense Reference"/>
    <w:basedOn w:val="DefaultParagraphFont"/>
    <w:uiPriority w:val="32"/>
    <w:qFormat/>
    <w:rsid w:val="001A11DD"/>
    <w:rPr>
      <w:b/>
      <w:bCs/>
      <w:smallCaps/>
      <w:color w:val="2F5496" w:themeColor="accent1" w:themeShade="BF"/>
      <w:spacing w:val="5"/>
    </w:rPr>
  </w:style>
  <w:style w:type="table" w:styleId="TableGrid">
    <w:name w:val="Table Grid"/>
    <w:basedOn w:val="TableNormal"/>
    <w:uiPriority w:val="39"/>
    <w:rsid w:val="001A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0C1F"/>
    <w:rPr>
      <w:sz w:val="16"/>
      <w:szCs w:val="16"/>
    </w:rPr>
  </w:style>
  <w:style w:type="paragraph" w:styleId="CommentText">
    <w:name w:val="annotation text"/>
    <w:basedOn w:val="Normal"/>
    <w:link w:val="CommentTextChar"/>
    <w:uiPriority w:val="99"/>
    <w:unhideWhenUsed/>
    <w:rsid w:val="00480C1F"/>
    <w:pPr>
      <w:spacing w:line="240" w:lineRule="auto"/>
    </w:pPr>
    <w:rPr>
      <w:sz w:val="20"/>
      <w:szCs w:val="20"/>
    </w:rPr>
  </w:style>
  <w:style w:type="character" w:customStyle="1" w:styleId="CommentTextChar">
    <w:name w:val="Comment Text Char"/>
    <w:basedOn w:val="DefaultParagraphFont"/>
    <w:link w:val="CommentText"/>
    <w:uiPriority w:val="99"/>
    <w:rsid w:val="00480C1F"/>
    <w:rPr>
      <w:sz w:val="20"/>
      <w:szCs w:val="20"/>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C141E3"/>
    <w:rPr>
      <w:b/>
      <w:bCs/>
    </w:rPr>
  </w:style>
  <w:style w:type="character" w:customStyle="1" w:styleId="CommentSubjectChar">
    <w:name w:val="Comment Subject Char"/>
    <w:basedOn w:val="CommentTextChar"/>
    <w:link w:val="CommentSubject"/>
    <w:uiPriority w:val="99"/>
    <w:semiHidden/>
    <w:rsid w:val="00C141E3"/>
    <w:rPr>
      <w:b/>
      <w:bCs/>
      <w:sz w:val="20"/>
      <w:szCs w:val="20"/>
    </w:rPr>
  </w:style>
  <w:style w:type="paragraph" w:styleId="Header">
    <w:name w:val="header"/>
    <w:basedOn w:val="Normal"/>
    <w:link w:val="HeaderChar"/>
    <w:uiPriority w:val="99"/>
    <w:unhideWhenUsed/>
    <w:rsid w:val="00672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37"/>
  </w:style>
  <w:style w:type="paragraph" w:styleId="Footer">
    <w:name w:val="footer"/>
    <w:basedOn w:val="Normal"/>
    <w:link w:val="FooterChar"/>
    <w:uiPriority w:val="99"/>
    <w:unhideWhenUsed/>
    <w:rsid w:val="00672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3092">
      <w:bodyDiv w:val="1"/>
      <w:marLeft w:val="0"/>
      <w:marRight w:val="0"/>
      <w:marTop w:val="0"/>
      <w:marBottom w:val="0"/>
      <w:divBdr>
        <w:top w:val="none" w:sz="0" w:space="0" w:color="auto"/>
        <w:left w:val="none" w:sz="0" w:space="0" w:color="auto"/>
        <w:bottom w:val="none" w:sz="0" w:space="0" w:color="auto"/>
        <w:right w:val="none" w:sz="0" w:space="0" w:color="auto"/>
      </w:divBdr>
    </w:div>
    <w:div w:id="1319574287">
      <w:bodyDiv w:val="1"/>
      <w:marLeft w:val="0"/>
      <w:marRight w:val="0"/>
      <w:marTop w:val="0"/>
      <w:marBottom w:val="0"/>
      <w:divBdr>
        <w:top w:val="none" w:sz="0" w:space="0" w:color="auto"/>
        <w:left w:val="none" w:sz="0" w:space="0" w:color="auto"/>
        <w:bottom w:val="none" w:sz="0" w:space="0" w:color="auto"/>
        <w:right w:val="none" w:sz="0" w:space="0" w:color="auto"/>
      </w:divBdr>
    </w:div>
    <w:div w:id="2069987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HH/rxXih7PpbUTUhsk3eAgaw==">CgMxLjA4AHIhMWtkUEJMWTJ5VVZmdG93dndUTVRtLWVGa3V5T25oNFhG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14</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Aishath Isra Amjad</dc:creator>
  <cp:lastModifiedBy>Fathimath Najudha</cp:lastModifiedBy>
  <cp:revision>6209</cp:revision>
  <dcterms:created xsi:type="dcterms:W3CDTF">2025-11-16T07:54:00Z</dcterms:created>
  <dcterms:modified xsi:type="dcterms:W3CDTF">2025-12-01T06:18:00Z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d8fbaf3f-ca9f-4907-a89f-8addfa1e920c</vt:lpwstr>
  </property>
</Properties>
</file>