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BE551" w14:textId="77777777" w:rsidR="0039667F" w:rsidRDefault="0039667F" w:rsidP="00AB2CBC">
      <w:pPr>
        <w:jc w:val="center"/>
        <w:rPr>
          <w:rFonts w:asciiTheme="majorBidi" w:hAnsiTheme="majorBidi" w:cstheme="majorBidi"/>
          <w:b/>
          <w:bCs/>
          <w:sz w:val="28"/>
          <w:szCs w:val="28"/>
        </w:rPr>
      </w:pPr>
    </w:p>
    <w:p w14:paraId="0A4AE6E5" w14:textId="04F8128A" w:rsidR="00F45E6C" w:rsidRDefault="00AB2CBC" w:rsidP="00AB2CBC">
      <w:pPr>
        <w:jc w:val="center"/>
        <w:rPr>
          <w:rFonts w:asciiTheme="majorBidi" w:hAnsiTheme="majorBidi" w:cstheme="majorBidi"/>
          <w:b/>
          <w:bCs/>
          <w:sz w:val="28"/>
          <w:szCs w:val="28"/>
        </w:rPr>
      </w:pPr>
      <w:r w:rsidRPr="00AB2CBC">
        <w:rPr>
          <w:rFonts w:asciiTheme="majorBidi" w:hAnsiTheme="majorBidi" w:cstheme="majorBidi"/>
          <w:b/>
          <w:bCs/>
          <w:sz w:val="28"/>
          <w:szCs w:val="28"/>
        </w:rPr>
        <w:t>Capital Market Sandbox Regulation</w:t>
      </w:r>
    </w:p>
    <w:p w14:paraId="28507DA8" w14:textId="77777777" w:rsidR="00AB2CBC" w:rsidRDefault="00AB2CBC" w:rsidP="00AB2CBC">
      <w:pPr>
        <w:jc w:val="center"/>
        <w:rPr>
          <w:rFonts w:asciiTheme="majorBidi" w:hAnsiTheme="majorBidi" w:cstheme="majorBidi"/>
          <w:b/>
          <w:bCs/>
          <w:sz w:val="28"/>
          <w:szCs w:val="28"/>
        </w:rPr>
      </w:pPr>
    </w:p>
    <w:tbl>
      <w:tblPr>
        <w:tblStyle w:val="TableGrid"/>
        <w:tblW w:w="9929" w:type="dxa"/>
        <w:tblLook w:val="04A0" w:firstRow="1" w:lastRow="0" w:firstColumn="1" w:lastColumn="0" w:noHBand="0" w:noVBand="1"/>
      </w:tblPr>
      <w:tblGrid>
        <w:gridCol w:w="2055"/>
        <w:gridCol w:w="627"/>
        <w:gridCol w:w="628"/>
        <w:gridCol w:w="555"/>
        <w:gridCol w:w="61"/>
        <w:gridCol w:w="6003"/>
      </w:tblGrid>
      <w:tr w:rsidR="00AB2CBC" w14:paraId="178E9216" w14:textId="77777777" w:rsidTr="00AB2CBC">
        <w:trPr>
          <w:trHeight w:val="884"/>
        </w:trPr>
        <w:tc>
          <w:tcPr>
            <w:tcW w:w="9929" w:type="dxa"/>
            <w:gridSpan w:val="6"/>
          </w:tcPr>
          <w:p w14:paraId="40F901AC" w14:textId="77777777" w:rsidR="00AB2CBC" w:rsidRDefault="00AB2CBC" w:rsidP="00AB2CBC">
            <w:pPr>
              <w:jc w:val="center"/>
              <w:rPr>
                <w:rFonts w:asciiTheme="majorBidi" w:hAnsiTheme="majorBidi" w:cstheme="majorBidi"/>
                <w:sz w:val="22"/>
                <w:szCs w:val="22"/>
              </w:rPr>
            </w:pPr>
          </w:p>
          <w:p w14:paraId="238C6E6E" w14:textId="77777777" w:rsidR="00AB2CBC" w:rsidRPr="006528D2" w:rsidRDefault="00AB2CBC" w:rsidP="00AB2CBC">
            <w:pPr>
              <w:jc w:val="center"/>
              <w:rPr>
                <w:rFonts w:asciiTheme="majorBidi" w:hAnsiTheme="majorBidi" w:cstheme="majorBidi"/>
                <w:b/>
                <w:bCs/>
              </w:rPr>
            </w:pPr>
            <w:r w:rsidRPr="006528D2">
              <w:rPr>
                <w:rFonts w:asciiTheme="majorBidi" w:hAnsiTheme="majorBidi" w:cstheme="majorBidi"/>
                <w:b/>
                <w:bCs/>
              </w:rPr>
              <w:t xml:space="preserve">Chapter 1 </w:t>
            </w:r>
          </w:p>
          <w:p w14:paraId="73943B10" w14:textId="77777777" w:rsidR="00AB2CBC" w:rsidRPr="006528D2" w:rsidRDefault="00AB2CBC" w:rsidP="00AB2CBC">
            <w:pPr>
              <w:jc w:val="center"/>
              <w:rPr>
                <w:rFonts w:asciiTheme="majorBidi" w:hAnsiTheme="majorBidi" w:cstheme="majorBidi"/>
                <w:b/>
                <w:bCs/>
              </w:rPr>
            </w:pPr>
          </w:p>
          <w:p w14:paraId="60ABEF71" w14:textId="5940C4C9" w:rsidR="00AB2CBC" w:rsidRPr="006528D2" w:rsidRDefault="006528D2" w:rsidP="00AB2CBC">
            <w:pPr>
              <w:jc w:val="center"/>
              <w:rPr>
                <w:rFonts w:asciiTheme="majorBidi" w:hAnsiTheme="majorBidi" w:cstheme="majorBidi"/>
                <w:b/>
                <w:bCs/>
              </w:rPr>
            </w:pPr>
            <w:r w:rsidRPr="006528D2">
              <w:rPr>
                <w:rFonts w:asciiTheme="majorBidi" w:hAnsiTheme="majorBidi" w:cstheme="majorBidi"/>
                <w:b/>
                <w:bCs/>
              </w:rPr>
              <w:t>Preamble</w:t>
            </w:r>
          </w:p>
          <w:p w14:paraId="28426E4F" w14:textId="08D5B5AA" w:rsidR="00CE362F" w:rsidRDefault="00CE362F" w:rsidP="00AB2CBC">
            <w:pPr>
              <w:jc w:val="center"/>
              <w:rPr>
                <w:rFonts w:asciiTheme="majorBidi" w:hAnsiTheme="majorBidi" w:cstheme="majorBidi"/>
                <w:sz w:val="22"/>
                <w:szCs w:val="22"/>
              </w:rPr>
            </w:pPr>
          </w:p>
        </w:tc>
      </w:tr>
      <w:tr w:rsidR="006528D2" w14:paraId="757B013F" w14:textId="77777777" w:rsidTr="00D250C6">
        <w:trPr>
          <w:trHeight w:val="884"/>
        </w:trPr>
        <w:tc>
          <w:tcPr>
            <w:tcW w:w="2055" w:type="dxa"/>
          </w:tcPr>
          <w:p w14:paraId="5387111C" w14:textId="15178C7C" w:rsidR="006528D2" w:rsidRDefault="006528D2" w:rsidP="006528D2">
            <w:pPr>
              <w:spacing w:line="360" w:lineRule="auto"/>
              <w:rPr>
                <w:rFonts w:asciiTheme="majorBidi" w:hAnsiTheme="majorBidi" w:cstheme="majorBidi"/>
                <w:sz w:val="22"/>
                <w:szCs w:val="22"/>
              </w:rPr>
            </w:pPr>
            <w:r>
              <w:rPr>
                <w:rFonts w:asciiTheme="majorBidi" w:hAnsiTheme="majorBidi" w:cstheme="majorBidi"/>
                <w:sz w:val="22"/>
                <w:szCs w:val="22"/>
              </w:rPr>
              <w:t>Introduction and Name</w:t>
            </w:r>
          </w:p>
        </w:tc>
        <w:tc>
          <w:tcPr>
            <w:tcW w:w="627" w:type="dxa"/>
          </w:tcPr>
          <w:p w14:paraId="7FA84512" w14:textId="641C0D47" w:rsidR="006528D2" w:rsidRDefault="006528D2" w:rsidP="006528D2">
            <w:pPr>
              <w:rPr>
                <w:rFonts w:asciiTheme="majorBidi" w:hAnsiTheme="majorBidi" w:cstheme="majorBidi"/>
                <w:sz w:val="22"/>
                <w:szCs w:val="22"/>
              </w:rPr>
            </w:pPr>
            <w:r>
              <w:rPr>
                <w:rFonts w:asciiTheme="majorBidi" w:hAnsiTheme="majorBidi" w:cstheme="majorBidi"/>
                <w:sz w:val="22"/>
                <w:szCs w:val="22"/>
              </w:rPr>
              <w:t>1.</w:t>
            </w:r>
          </w:p>
        </w:tc>
        <w:tc>
          <w:tcPr>
            <w:tcW w:w="628" w:type="dxa"/>
          </w:tcPr>
          <w:p w14:paraId="756EC4F0" w14:textId="0977BF2E" w:rsidR="006528D2" w:rsidRDefault="006528D2" w:rsidP="006528D2">
            <w:pPr>
              <w:rPr>
                <w:rFonts w:asciiTheme="majorBidi" w:hAnsiTheme="majorBidi" w:cstheme="majorBidi"/>
                <w:sz w:val="22"/>
                <w:szCs w:val="22"/>
              </w:rPr>
            </w:pPr>
            <w:r>
              <w:rPr>
                <w:rFonts w:asciiTheme="majorBidi" w:hAnsiTheme="majorBidi" w:cstheme="majorBidi"/>
                <w:sz w:val="22"/>
                <w:szCs w:val="22"/>
              </w:rPr>
              <w:t>(a)</w:t>
            </w:r>
          </w:p>
        </w:tc>
        <w:tc>
          <w:tcPr>
            <w:tcW w:w="6619" w:type="dxa"/>
            <w:gridSpan w:val="3"/>
          </w:tcPr>
          <w:p w14:paraId="35861FB4" w14:textId="634BE449" w:rsidR="006528D2" w:rsidRDefault="006528D2" w:rsidP="002732A2">
            <w:pPr>
              <w:spacing w:line="360" w:lineRule="auto"/>
              <w:jc w:val="both"/>
              <w:rPr>
                <w:rFonts w:asciiTheme="majorBidi" w:hAnsiTheme="majorBidi" w:cstheme="majorBidi"/>
                <w:sz w:val="22"/>
                <w:szCs w:val="22"/>
              </w:rPr>
            </w:pPr>
            <w:r w:rsidRPr="00B751AE">
              <w:rPr>
                <w:rFonts w:asciiTheme="majorBidi" w:hAnsiTheme="majorBidi" w:cstheme="majorBidi"/>
              </w:rPr>
              <w:t>This regulation is enacted by the Capital Market Development Authority under section 63</w:t>
            </w:r>
            <w:r>
              <w:rPr>
                <w:rFonts w:asciiTheme="majorBidi" w:hAnsiTheme="majorBidi" w:cstheme="majorBidi"/>
              </w:rPr>
              <w:t xml:space="preserve"> (b)(12)</w:t>
            </w:r>
            <w:r w:rsidRPr="00B751AE">
              <w:rPr>
                <w:rFonts w:asciiTheme="majorBidi" w:hAnsiTheme="majorBidi" w:cstheme="majorBidi"/>
              </w:rPr>
              <w:t xml:space="preserve"> of the Maldives Securities Act (Law no: 2/2006).</w:t>
            </w:r>
          </w:p>
        </w:tc>
      </w:tr>
      <w:tr w:rsidR="006528D2" w14:paraId="727C503A" w14:textId="77777777" w:rsidTr="00D250C6">
        <w:trPr>
          <w:trHeight w:val="884"/>
        </w:trPr>
        <w:tc>
          <w:tcPr>
            <w:tcW w:w="2055" w:type="dxa"/>
          </w:tcPr>
          <w:p w14:paraId="0AEBCB52" w14:textId="77777777" w:rsidR="006528D2" w:rsidRDefault="006528D2" w:rsidP="006528D2">
            <w:pPr>
              <w:rPr>
                <w:rFonts w:asciiTheme="majorBidi" w:hAnsiTheme="majorBidi" w:cstheme="majorBidi"/>
                <w:sz w:val="22"/>
                <w:szCs w:val="22"/>
              </w:rPr>
            </w:pPr>
          </w:p>
        </w:tc>
        <w:tc>
          <w:tcPr>
            <w:tcW w:w="627" w:type="dxa"/>
          </w:tcPr>
          <w:p w14:paraId="12E3BEF7" w14:textId="77777777" w:rsidR="006528D2" w:rsidRDefault="006528D2" w:rsidP="006528D2">
            <w:pPr>
              <w:rPr>
                <w:rFonts w:asciiTheme="majorBidi" w:hAnsiTheme="majorBidi" w:cstheme="majorBidi"/>
                <w:sz w:val="22"/>
                <w:szCs w:val="22"/>
              </w:rPr>
            </w:pPr>
          </w:p>
        </w:tc>
        <w:tc>
          <w:tcPr>
            <w:tcW w:w="628" w:type="dxa"/>
          </w:tcPr>
          <w:p w14:paraId="4621C9B8" w14:textId="63214108" w:rsidR="006528D2" w:rsidRDefault="006528D2" w:rsidP="006528D2">
            <w:pPr>
              <w:rPr>
                <w:rFonts w:asciiTheme="majorBidi" w:hAnsiTheme="majorBidi" w:cstheme="majorBidi"/>
                <w:sz w:val="22"/>
                <w:szCs w:val="22"/>
              </w:rPr>
            </w:pPr>
            <w:r>
              <w:rPr>
                <w:rFonts w:asciiTheme="majorBidi" w:hAnsiTheme="majorBidi" w:cstheme="majorBidi"/>
                <w:sz w:val="22"/>
                <w:szCs w:val="22"/>
              </w:rPr>
              <w:t>(b)</w:t>
            </w:r>
          </w:p>
        </w:tc>
        <w:tc>
          <w:tcPr>
            <w:tcW w:w="6619" w:type="dxa"/>
            <w:gridSpan w:val="3"/>
          </w:tcPr>
          <w:p w14:paraId="19447655" w14:textId="18A4980E" w:rsidR="006528D2" w:rsidRDefault="006528D2" w:rsidP="002732A2">
            <w:pPr>
              <w:spacing w:line="360" w:lineRule="auto"/>
              <w:jc w:val="both"/>
              <w:rPr>
                <w:rFonts w:asciiTheme="majorBidi" w:hAnsiTheme="majorBidi" w:cstheme="majorBidi"/>
                <w:sz w:val="22"/>
                <w:szCs w:val="22"/>
              </w:rPr>
            </w:pPr>
            <w:r w:rsidRPr="00B751AE">
              <w:rPr>
                <w:rFonts w:asciiTheme="majorBidi" w:hAnsiTheme="majorBidi" w:cstheme="majorBidi"/>
              </w:rPr>
              <w:t xml:space="preserve">This regulation shall be cited as </w:t>
            </w:r>
            <w:r>
              <w:rPr>
                <w:rFonts w:asciiTheme="majorBidi" w:hAnsiTheme="majorBidi" w:cstheme="majorBidi"/>
              </w:rPr>
              <w:t>“Capital Market Sandbox Regulation”.</w:t>
            </w:r>
          </w:p>
        </w:tc>
      </w:tr>
      <w:tr w:rsidR="006528D2" w14:paraId="2452F3E9" w14:textId="77777777" w:rsidTr="004730DA">
        <w:trPr>
          <w:trHeight w:val="720"/>
        </w:trPr>
        <w:tc>
          <w:tcPr>
            <w:tcW w:w="2055" w:type="dxa"/>
          </w:tcPr>
          <w:p w14:paraId="1603C637" w14:textId="551AD46E" w:rsidR="006528D2" w:rsidRPr="0014707F" w:rsidRDefault="006528D2" w:rsidP="0014707F">
            <w:pPr>
              <w:spacing w:line="360" w:lineRule="auto"/>
              <w:rPr>
                <w:rFonts w:asciiTheme="majorBidi" w:hAnsiTheme="majorBidi" w:cstheme="majorBidi"/>
                <w:sz w:val="22"/>
                <w:szCs w:val="22"/>
              </w:rPr>
            </w:pPr>
            <w:r w:rsidRPr="0014707F">
              <w:rPr>
                <w:rFonts w:asciiTheme="majorBidi" w:hAnsiTheme="majorBidi" w:cstheme="majorBidi"/>
                <w:sz w:val="22"/>
                <w:szCs w:val="22"/>
              </w:rPr>
              <w:t xml:space="preserve">Objectives of the </w:t>
            </w:r>
            <w:r w:rsidR="004730DA">
              <w:rPr>
                <w:rFonts w:asciiTheme="majorBidi" w:hAnsiTheme="majorBidi" w:cstheme="majorBidi"/>
                <w:sz w:val="22"/>
                <w:szCs w:val="22"/>
              </w:rPr>
              <w:t>R</w:t>
            </w:r>
            <w:r w:rsidRPr="0014707F">
              <w:rPr>
                <w:rFonts w:asciiTheme="majorBidi" w:hAnsiTheme="majorBidi" w:cstheme="majorBidi"/>
                <w:sz w:val="22"/>
                <w:szCs w:val="22"/>
              </w:rPr>
              <w:t>egulation</w:t>
            </w:r>
          </w:p>
        </w:tc>
        <w:tc>
          <w:tcPr>
            <w:tcW w:w="627" w:type="dxa"/>
          </w:tcPr>
          <w:p w14:paraId="29D7DAAA" w14:textId="48DCA5A0" w:rsidR="006528D2" w:rsidRPr="0014707F" w:rsidRDefault="006528D2" w:rsidP="0014707F">
            <w:pPr>
              <w:spacing w:line="360" w:lineRule="auto"/>
              <w:rPr>
                <w:rFonts w:asciiTheme="majorBidi" w:hAnsiTheme="majorBidi" w:cstheme="majorBidi"/>
                <w:sz w:val="22"/>
                <w:szCs w:val="22"/>
              </w:rPr>
            </w:pPr>
            <w:r w:rsidRPr="0014707F">
              <w:rPr>
                <w:rFonts w:asciiTheme="majorBidi" w:hAnsiTheme="majorBidi" w:cstheme="majorBidi"/>
                <w:sz w:val="22"/>
                <w:szCs w:val="22"/>
              </w:rPr>
              <w:t>2.</w:t>
            </w:r>
          </w:p>
        </w:tc>
        <w:tc>
          <w:tcPr>
            <w:tcW w:w="7247" w:type="dxa"/>
            <w:gridSpan w:val="4"/>
          </w:tcPr>
          <w:p w14:paraId="7FFCE7BB" w14:textId="1C39C8B2" w:rsidR="006528D2" w:rsidRPr="0014707F" w:rsidRDefault="006528D2" w:rsidP="002732A2">
            <w:pPr>
              <w:spacing w:line="360" w:lineRule="auto"/>
              <w:rPr>
                <w:rFonts w:asciiTheme="majorBidi" w:hAnsiTheme="majorBidi" w:cstheme="majorBidi"/>
              </w:rPr>
            </w:pPr>
            <w:r w:rsidRPr="0014707F">
              <w:rPr>
                <w:rFonts w:asciiTheme="majorBidi" w:hAnsiTheme="majorBidi" w:cstheme="majorBidi"/>
              </w:rPr>
              <w:t>The objectives of this regulation are outlined below.</w:t>
            </w:r>
          </w:p>
        </w:tc>
      </w:tr>
      <w:tr w:rsidR="006528D2" w14:paraId="26CC91F2" w14:textId="77777777" w:rsidTr="00D250C6">
        <w:trPr>
          <w:trHeight w:val="884"/>
        </w:trPr>
        <w:tc>
          <w:tcPr>
            <w:tcW w:w="2055" w:type="dxa"/>
          </w:tcPr>
          <w:p w14:paraId="1D63F89B" w14:textId="77777777" w:rsidR="006528D2" w:rsidRPr="0014707F" w:rsidRDefault="006528D2" w:rsidP="0014707F">
            <w:pPr>
              <w:spacing w:line="360" w:lineRule="auto"/>
              <w:rPr>
                <w:rFonts w:asciiTheme="majorBidi" w:hAnsiTheme="majorBidi" w:cstheme="majorBidi"/>
                <w:sz w:val="22"/>
                <w:szCs w:val="22"/>
              </w:rPr>
            </w:pPr>
          </w:p>
        </w:tc>
        <w:tc>
          <w:tcPr>
            <w:tcW w:w="627" w:type="dxa"/>
          </w:tcPr>
          <w:p w14:paraId="1F450650" w14:textId="77777777" w:rsidR="006528D2" w:rsidRPr="0014707F" w:rsidRDefault="006528D2" w:rsidP="0014707F">
            <w:pPr>
              <w:spacing w:line="360" w:lineRule="auto"/>
              <w:rPr>
                <w:rFonts w:asciiTheme="majorBidi" w:hAnsiTheme="majorBidi" w:cstheme="majorBidi"/>
                <w:sz w:val="22"/>
                <w:szCs w:val="22"/>
              </w:rPr>
            </w:pPr>
          </w:p>
        </w:tc>
        <w:tc>
          <w:tcPr>
            <w:tcW w:w="628" w:type="dxa"/>
          </w:tcPr>
          <w:p w14:paraId="360FE0C9" w14:textId="35650013" w:rsidR="006528D2" w:rsidRPr="0014707F" w:rsidRDefault="0014707F" w:rsidP="0014707F">
            <w:pPr>
              <w:spacing w:line="360" w:lineRule="auto"/>
              <w:rPr>
                <w:rFonts w:asciiTheme="majorBidi" w:hAnsiTheme="majorBidi" w:cstheme="majorBidi"/>
              </w:rPr>
            </w:pPr>
            <w:r>
              <w:rPr>
                <w:rFonts w:asciiTheme="majorBidi" w:hAnsiTheme="majorBidi" w:cstheme="majorBidi"/>
              </w:rPr>
              <w:t>(a)</w:t>
            </w:r>
          </w:p>
        </w:tc>
        <w:tc>
          <w:tcPr>
            <w:tcW w:w="6619" w:type="dxa"/>
            <w:gridSpan w:val="3"/>
          </w:tcPr>
          <w:p w14:paraId="1A2F61ED" w14:textId="7A692A3A" w:rsidR="006528D2" w:rsidRPr="0014707F" w:rsidRDefault="006528D2" w:rsidP="002732A2">
            <w:pPr>
              <w:spacing w:line="360" w:lineRule="auto"/>
              <w:jc w:val="both"/>
              <w:rPr>
                <w:rFonts w:asciiTheme="majorBidi" w:hAnsiTheme="majorBidi" w:cstheme="majorBidi"/>
              </w:rPr>
            </w:pPr>
            <w:r w:rsidRPr="0014707F">
              <w:rPr>
                <w:rFonts w:asciiTheme="majorBidi" w:hAnsiTheme="majorBidi" w:cstheme="majorBidi"/>
              </w:rPr>
              <w:t>To facilitate the introduction of new investment opportunities to the securities market, especially those that have been challenging to introduce under existing regulatory frameworks.</w:t>
            </w:r>
          </w:p>
        </w:tc>
      </w:tr>
      <w:tr w:rsidR="006528D2" w14:paraId="67B4F9F9" w14:textId="77777777" w:rsidTr="00D250C6">
        <w:trPr>
          <w:trHeight w:val="884"/>
        </w:trPr>
        <w:tc>
          <w:tcPr>
            <w:tcW w:w="2055" w:type="dxa"/>
          </w:tcPr>
          <w:p w14:paraId="194CA2D1" w14:textId="77777777" w:rsidR="006528D2" w:rsidRPr="0014707F" w:rsidRDefault="006528D2" w:rsidP="0014707F">
            <w:pPr>
              <w:spacing w:line="360" w:lineRule="auto"/>
              <w:rPr>
                <w:rFonts w:asciiTheme="majorBidi" w:hAnsiTheme="majorBidi" w:cstheme="majorBidi"/>
                <w:sz w:val="22"/>
                <w:szCs w:val="22"/>
              </w:rPr>
            </w:pPr>
          </w:p>
        </w:tc>
        <w:tc>
          <w:tcPr>
            <w:tcW w:w="627" w:type="dxa"/>
          </w:tcPr>
          <w:p w14:paraId="2C0EEEB0" w14:textId="77777777" w:rsidR="006528D2" w:rsidRPr="0014707F" w:rsidRDefault="006528D2" w:rsidP="0014707F">
            <w:pPr>
              <w:spacing w:line="360" w:lineRule="auto"/>
              <w:rPr>
                <w:rFonts w:asciiTheme="majorBidi" w:hAnsiTheme="majorBidi" w:cstheme="majorBidi"/>
                <w:sz w:val="22"/>
                <w:szCs w:val="22"/>
              </w:rPr>
            </w:pPr>
          </w:p>
        </w:tc>
        <w:tc>
          <w:tcPr>
            <w:tcW w:w="628" w:type="dxa"/>
          </w:tcPr>
          <w:p w14:paraId="53E7A9B5" w14:textId="196AE7D5" w:rsidR="006528D2" w:rsidRPr="0014707F" w:rsidRDefault="0014707F" w:rsidP="0014707F">
            <w:pPr>
              <w:spacing w:line="360" w:lineRule="auto"/>
              <w:rPr>
                <w:rFonts w:asciiTheme="majorBidi" w:hAnsiTheme="majorBidi" w:cstheme="majorBidi"/>
              </w:rPr>
            </w:pPr>
            <w:r>
              <w:rPr>
                <w:rFonts w:asciiTheme="majorBidi" w:hAnsiTheme="majorBidi" w:cstheme="majorBidi"/>
              </w:rPr>
              <w:t>(b)</w:t>
            </w:r>
          </w:p>
        </w:tc>
        <w:tc>
          <w:tcPr>
            <w:tcW w:w="6619" w:type="dxa"/>
            <w:gridSpan w:val="3"/>
          </w:tcPr>
          <w:p w14:paraId="79666170" w14:textId="5398D4BE" w:rsidR="006528D2" w:rsidRPr="0014707F" w:rsidRDefault="006528D2" w:rsidP="002732A2">
            <w:pPr>
              <w:spacing w:line="360" w:lineRule="auto"/>
              <w:jc w:val="both"/>
              <w:rPr>
                <w:rFonts w:asciiTheme="majorBidi" w:hAnsiTheme="majorBidi" w:cstheme="majorBidi"/>
              </w:rPr>
            </w:pPr>
            <w:r w:rsidRPr="0014707F">
              <w:rPr>
                <w:rFonts w:asciiTheme="majorBidi" w:hAnsiTheme="majorBidi" w:cstheme="majorBidi"/>
              </w:rPr>
              <w:t>To pave the way for strengthening and modernizing the services currently provided in the securities market, making them more convenient and accessible for investors.</w:t>
            </w:r>
          </w:p>
        </w:tc>
      </w:tr>
      <w:tr w:rsidR="006528D2" w14:paraId="3DBA4AF6" w14:textId="77777777" w:rsidTr="00D250C6">
        <w:trPr>
          <w:trHeight w:val="884"/>
        </w:trPr>
        <w:tc>
          <w:tcPr>
            <w:tcW w:w="2055" w:type="dxa"/>
          </w:tcPr>
          <w:p w14:paraId="24E6C211" w14:textId="77777777" w:rsidR="006528D2" w:rsidRPr="0014707F" w:rsidRDefault="006528D2" w:rsidP="0014707F">
            <w:pPr>
              <w:spacing w:line="360" w:lineRule="auto"/>
              <w:rPr>
                <w:rFonts w:asciiTheme="majorBidi" w:hAnsiTheme="majorBidi" w:cstheme="majorBidi"/>
                <w:sz w:val="22"/>
                <w:szCs w:val="22"/>
              </w:rPr>
            </w:pPr>
          </w:p>
        </w:tc>
        <w:tc>
          <w:tcPr>
            <w:tcW w:w="627" w:type="dxa"/>
          </w:tcPr>
          <w:p w14:paraId="43AFBC46" w14:textId="77777777" w:rsidR="006528D2" w:rsidRPr="0014707F" w:rsidRDefault="006528D2" w:rsidP="0014707F">
            <w:pPr>
              <w:spacing w:line="360" w:lineRule="auto"/>
              <w:rPr>
                <w:rFonts w:asciiTheme="majorBidi" w:hAnsiTheme="majorBidi" w:cstheme="majorBidi"/>
                <w:sz w:val="22"/>
                <w:szCs w:val="22"/>
              </w:rPr>
            </w:pPr>
          </w:p>
        </w:tc>
        <w:tc>
          <w:tcPr>
            <w:tcW w:w="628" w:type="dxa"/>
          </w:tcPr>
          <w:p w14:paraId="47D6A8D0" w14:textId="34B7501E" w:rsidR="006528D2" w:rsidRPr="0014707F" w:rsidRDefault="0014707F" w:rsidP="0014707F">
            <w:pPr>
              <w:spacing w:line="360" w:lineRule="auto"/>
              <w:rPr>
                <w:rFonts w:asciiTheme="majorBidi" w:hAnsiTheme="majorBidi" w:cstheme="majorBidi"/>
              </w:rPr>
            </w:pPr>
            <w:r>
              <w:rPr>
                <w:rFonts w:asciiTheme="majorBidi" w:hAnsiTheme="majorBidi" w:cstheme="majorBidi"/>
              </w:rPr>
              <w:t>(c)</w:t>
            </w:r>
          </w:p>
        </w:tc>
        <w:tc>
          <w:tcPr>
            <w:tcW w:w="6619" w:type="dxa"/>
            <w:gridSpan w:val="3"/>
          </w:tcPr>
          <w:p w14:paraId="1117162C" w14:textId="7772D26D" w:rsidR="006528D2" w:rsidRPr="0014707F" w:rsidRDefault="006528D2" w:rsidP="002732A2">
            <w:pPr>
              <w:spacing w:line="360" w:lineRule="auto"/>
              <w:jc w:val="both"/>
              <w:rPr>
                <w:rFonts w:asciiTheme="majorBidi" w:hAnsiTheme="majorBidi" w:cstheme="majorBidi"/>
              </w:rPr>
            </w:pPr>
            <w:r w:rsidRPr="0014707F">
              <w:rPr>
                <w:rFonts w:asciiTheme="majorBidi" w:hAnsiTheme="majorBidi" w:cstheme="majorBidi"/>
              </w:rPr>
              <w:t xml:space="preserve">To encourage </w:t>
            </w:r>
            <w:r w:rsidR="005E4491" w:rsidRPr="0014707F">
              <w:rPr>
                <w:rFonts w:asciiTheme="majorBidi" w:hAnsiTheme="majorBidi" w:cstheme="majorBidi"/>
              </w:rPr>
              <w:t>responsible</w:t>
            </w:r>
            <w:r w:rsidRPr="0014707F">
              <w:rPr>
                <w:rFonts w:asciiTheme="majorBidi" w:hAnsiTheme="majorBidi" w:cstheme="majorBidi"/>
              </w:rPr>
              <w:t xml:space="preserve"> in</w:t>
            </w:r>
            <w:r w:rsidR="005E4491">
              <w:rPr>
                <w:rFonts w:asciiTheme="majorBidi" w:hAnsiTheme="majorBidi" w:cstheme="majorBidi"/>
              </w:rPr>
              <w:t xml:space="preserve">novation </w:t>
            </w:r>
            <w:r w:rsidRPr="0014707F">
              <w:rPr>
                <w:rFonts w:asciiTheme="majorBidi" w:hAnsiTheme="majorBidi" w:cstheme="majorBidi"/>
              </w:rPr>
              <w:t>while continuously upholding the integrity of the capital market and ensuring investor protection.</w:t>
            </w:r>
          </w:p>
        </w:tc>
      </w:tr>
      <w:tr w:rsidR="005E4491" w14:paraId="1D42D7F6" w14:textId="77777777" w:rsidTr="00AC25B5">
        <w:trPr>
          <w:trHeight w:val="1358"/>
        </w:trPr>
        <w:tc>
          <w:tcPr>
            <w:tcW w:w="9929" w:type="dxa"/>
            <w:gridSpan w:val="6"/>
          </w:tcPr>
          <w:p w14:paraId="67958DDA" w14:textId="77777777" w:rsidR="005E4491" w:rsidRDefault="005E4491" w:rsidP="004730DA">
            <w:pPr>
              <w:spacing w:line="360" w:lineRule="auto"/>
              <w:jc w:val="center"/>
              <w:rPr>
                <w:rFonts w:asciiTheme="majorBidi" w:hAnsiTheme="majorBidi" w:cstheme="majorBidi"/>
              </w:rPr>
            </w:pPr>
          </w:p>
          <w:p w14:paraId="458D2625" w14:textId="77777777" w:rsidR="005E4491" w:rsidRPr="005E4491" w:rsidRDefault="005E4491" w:rsidP="004730DA">
            <w:pPr>
              <w:spacing w:line="360" w:lineRule="auto"/>
              <w:jc w:val="center"/>
              <w:rPr>
                <w:rFonts w:asciiTheme="majorBidi" w:hAnsiTheme="majorBidi" w:cstheme="majorBidi"/>
                <w:b/>
                <w:bCs/>
              </w:rPr>
            </w:pPr>
            <w:r w:rsidRPr="005E4491">
              <w:rPr>
                <w:rFonts w:asciiTheme="majorBidi" w:hAnsiTheme="majorBidi" w:cstheme="majorBidi"/>
                <w:b/>
                <w:bCs/>
              </w:rPr>
              <w:t>Chapter 2</w:t>
            </w:r>
          </w:p>
          <w:p w14:paraId="32D48018" w14:textId="326C5E5D" w:rsidR="005E4491" w:rsidRPr="00B751AE" w:rsidRDefault="00AC25B5" w:rsidP="004730DA">
            <w:pPr>
              <w:spacing w:line="360" w:lineRule="auto"/>
              <w:jc w:val="center"/>
              <w:rPr>
                <w:rFonts w:asciiTheme="majorBidi" w:hAnsiTheme="majorBidi" w:cstheme="majorBidi"/>
              </w:rPr>
            </w:pPr>
            <w:r>
              <w:rPr>
                <w:rFonts w:asciiTheme="majorBidi" w:hAnsiTheme="majorBidi" w:cstheme="majorBidi"/>
                <w:b/>
                <w:bCs/>
              </w:rPr>
              <w:t>Eligibility</w:t>
            </w:r>
            <w:r w:rsidR="005E4491" w:rsidRPr="005E4491">
              <w:rPr>
                <w:rFonts w:asciiTheme="majorBidi" w:hAnsiTheme="majorBidi" w:cstheme="majorBidi"/>
                <w:b/>
                <w:bCs/>
              </w:rPr>
              <w:t xml:space="preserve"> for Participation in the Sandbox</w:t>
            </w:r>
          </w:p>
        </w:tc>
      </w:tr>
      <w:tr w:rsidR="006528D2" w14:paraId="64DABF9A" w14:textId="77777777" w:rsidTr="00D250C6">
        <w:trPr>
          <w:trHeight w:val="593"/>
        </w:trPr>
        <w:tc>
          <w:tcPr>
            <w:tcW w:w="2055" w:type="dxa"/>
          </w:tcPr>
          <w:p w14:paraId="2863B789" w14:textId="51E80945" w:rsidR="006528D2" w:rsidRDefault="005E4491" w:rsidP="006528D2">
            <w:pPr>
              <w:rPr>
                <w:rFonts w:asciiTheme="majorBidi" w:hAnsiTheme="majorBidi" w:cstheme="majorBidi"/>
                <w:sz w:val="22"/>
                <w:szCs w:val="22"/>
              </w:rPr>
            </w:pPr>
            <w:r>
              <w:rPr>
                <w:rFonts w:asciiTheme="majorBidi" w:hAnsiTheme="majorBidi" w:cstheme="majorBidi"/>
                <w:sz w:val="22"/>
                <w:szCs w:val="22"/>
              </w:rPr>
              <w:t>Eligible Participants</w:t>
            </w:r>
          </w:p>
        </w:tc>
        <w:tc>
          <w:tcPr>
            <w:tcW w:w="627" w:type="dxa"/>
          </w:tcPr>
          <w:p w14:paraId="1484BAF8" w14:textId="2BB75F63" w:rsidR="006528D2" w:rsidRDefault="005E4491" w:rsidP="006528D2">
            <w:pPr>
              <w:rPr>
                <w:rFonts w:asciiTheme="majorBidi" w:hAnsiTheme="majorBidi" w:cstheme="majorBidi"/>
                <w:sz w:val="22"/>
                <w:szCs w:val="22"/>
              </w:rPr>
            </w:pPr>
            <w:r>
              <w:rPr>
                <w:rFonts w:asciiTheme="majorBidi" w:hAnsiTheme="majorBidi" w:cstheme="majorBidi"/>
                <w:sz w:val="22"/>
                <w:szCs w:val="22"/>
              </w:rPr>
              <w:t xml:space="preserve">3. </w:t>
            </w:r>
          </w:p>
        </w:tc>
        <w:tc>
          <w:tcPr>
            <w:tcW w:w="628" w:type="dxa"/>
          </w:tcPr>
          <w:p w14:paraId="43057869" w14:textId="77121CC7" w:rsidR="006528D2" w:rsidRDefault="005E4491" w:rsidP="006528D2">
            <w:pPr>
              <w:rPr>
                <w:rFonts w:asciiTheme="majorBidi" w:hAnsiTheme="majorBidi" w:cstheme="majorBidi"/>
                <w:sz w:val="22"/>
                <w:szCs w:val="22"/>
              </w:rPr>
            </w:pPr>
            <w:r>
              <w:rPr>
                <w:rFonts w:asciiTheme="majorBidi" w:hAnsiTheme="majorBidi" w:cstheme="majorBidi"/>
                <w:sz w:val="22"/>
                <w:szCs w:val="22"/>
              </w:rPr>
              <w:t>(a)</w:t>
            </w:r>
          </w:p>
        </w:tc>
        <w:tc>
          <w:tcPr>
            <w:tcW w:w="6619" w:type="dxa"/>
            <w:gridSpan w:val="3"/>
          </w:tcPr>
          <w:p w14:paraId="43E93673" w14:textId="3D08572E" w:rsidR="006528D2" w:rsidRPr="00B751AE" w:rsidRDefault="005E4491" w:rsidP="002732A2">
            <w:pPr>
              <w:spacing w:line="360" w:lineRule="auto"/>
              <w:jc w:val="both"/>
              <w:rPr>
                <w:rFonts w:asciiTheme="majorBidi" w:hAnsiTheme="majorBidi" w:cstheme="majorBidi"/>
              </w:rPr>
            </w:pPr>
            <w:r>
              <w:rPr>
                <w:rFonts w:asciiTheme="majorBidi" w:hAnsiTheme="majorBidi" w:cstheme="majorBidi"/>
              </w:rPr>
              <w:t>Entities licensed or registered by the Authority;</w:t>
            </w:r>
          </w:p>
        </w:tc>
      </w:tr>
      <w:tr w:rsidR="005E4491" w14:paraId="6E2515CA" w14:textId="77777777" w:rsidTr="00D250C6">
        <w:trPr>
          <w:trHeight w:val="884"/>
        </w:trPr>
        <w:tc>
          <w:tcPr>
            <w:tcW w:w="2055" w:type="dxa"/>
          </w:tcPr>
          <w:p w14:paraId="5EE9A396" w14:textId="77777777" w:rsidR="005E4491" w:rsidRDefault="005E4491" w:rsidP="006528D2">
            <w:pPr>
              <w:rPr>
                <w:rFonts w:asciiTheme="majorBidi" w:hAnsiTheme="majorBidi" w:cstheme="majorBidi"/>
                <w:sz w:val="22"/>
                <w:szCs w:val="22"/>
              </w:rPr>
            </w:pPr>
          </w:p>
        </w:tc>
        <w:tc>
          <w:tcPr>
            <w:tcW w:w="627" w:type="dxa"/>
          </w:tcPr>
          <w:p w14:paraId="44358EDA" w14:textId="77777777" w:rsidR="005E4491" w:rsidRDefault="005E4491" w:rsidP="006528D2">
            <w:pPr>
              <w:rPr>
                <w:rFonts w:asciiTheme="majorBidi" w:hAnsiTheme="majorBidi" w:cstheme="majorBidi"/>
                <w:sz w:val="22"/>
                <w:szCs w:val="22"/>
              </w:rPr>
            </w:pPr>
          </w:p>
        </w:tc>
        <w:tc>
          <w:tcPr>
            <w:tcW w:w="628" w:type="dxa"/>
          </w:tcPr>
          <w:p w14:paraId="55B62779" w14:textId="008356FE" w:rsidR="005E4491" w:rsidRDefault="005E4491" w:rsidP="006528D2">
            <w:pPr>
              <w:rPr>
                <w:rFonts w:asciiTheme="majorBidi" w:hAnsiTheme="majorBidi" w:cstheme="majorBidi"/>
                <w:sz w:val="22"/>
                <w:szCs w:val="22"/>
              </w:rPr>
            </w:pPr>
            <w:r>
              <w:rPr>
                <w:rFonts w:asciiTheme="majorBidi" w:hAnsiTheme="majorBidi" w:cstheme="majorBidi"/>
                <w:sz w:val="22"/>
                <w:szCs w:val="22"/>
              </w:rPr>
              <w:t>(b)</w:t>
            </w:r>
          </w:p>
        </w:tc>
        <w:tc>
          <w:tcPr>
            <w:tcW w:w="6619" w:type="dxa"/>
            <w:gridSpan w:val="3"/>
          </w:tcPr>
          <w:p w14:paraId="48152479" w14:textId="01EE5285" w:rsidR="005E4491" w:rsidRPr="00B751AE" w:rsidRDefault="005E4491" w:rsidP="002732A2">
            <w:pPr>
              <w:spacing w:line="360" w:lineRule="auto"/>
              <w:jc w:val="both"/>
              <w:rPr>
                <w:rFonts w:asciiTheme="majorBidi" w:hAnsiTheme="majorBidi" w:cstheme="majorBidi"/>
              </w:rPr>
            </w:pPr>
            <w:r w:rsidRPr="005E4491">
              <w:rPr>
                <w:rFonts w:asciiTheme="majorBidi" w:hAnsiTheme="majorBidi" w:cstheme="majorBidi"/>
              </w:rPr>
              <w:t>Any legal entity that intends to introduce capital market products and services through new technology or other means, or to further develop existing services and make them available to the public.</w:t>
            </w:r>
          </w:p>
        </w:tc>
      </w:tr>
      <w:tr w:rsidR="005E4491" w14:paraId="3C7AEDC9" w14:textId="77777777" w:rsidTr="00D250C6">
        <w:trPr>
          <w:trHeight w:val="884"/>
        </w:trPr>
        <w:tc>
          <w:tcPr>
            <w:tcW w:w="2055" w:type="dxa"/>
          </w:tcPr>
          <w:p w14:paraId="1FC1CC70" w14:textId="77777777" w:rsidR="005E4491" w:rsidRDefault="005E4491" w:rsidP="006528D2">
            <w:pPr>
              <w:rPr>
                <w:rFonts w:asciiTheme="majorBidi" w:hAnsiTheme="majorBidi" w:cstheme="majorBidi"/>
                <w:sz w:val="22"/>
                <w:szCs w:val="22"/>
              </w:rPr>
            </w:pPr>
          </w:p>
        </w:tc>
        <w:tc>
          <w:tcPr>
            <w:tcW w:w="627" w:type="dxa"/>
          </w:tcPr>
          <w:p w14:paraId="68CCA772" w14:textId="77777777" w:rsidR="005E4491" w:rsidRDefault="005E4491" w:rsidP="006528D2">
            <w:pPr>
              <w:rPr>
                <w:rFonts w:asciiTheme="majorBidi" w:hAnsiTheme="majorBidi" w:cstheme="majorBidi"/>
                <w:sz w:val="22"/>
                <w:szCs w:val="22"/>
              </w:rPr>
            </w:pPr>
          </w:p>
        </w:tc>
        <w:tc>
          <w:tcPr>
            <w:tcW w:w="628" w:type="dxa"/>
          </w:tcPr>
          <w:p w14:paraId="0E40BA8D" w14:textId="615609BA" w:rsidR="005E4491" w:rsidRDefault="005E4491" w:rsidP="006528D2">
            <w:pPr>
              <w:rPr>
                <w:rFonts w:asciiTheme="majorBidi" w:hAnsiTheme="majorBidi" w:cstheme="majorBidi"/>
                <w:sz w:val="22"/>
                <w:szCs w:val="22"/>
              </w:rPr>
            </w:pPr>
            <w:r>
              <w:rPr>
                <w:rFonts w:asciiTheme="majorBidi" w:hAnsiTheme="majorBidi" w:cstheme="majorBidi"/>
                <w:sz w:val="22"/>
                <w:szCs w:val="22"/>
              </w:rPr>
              <w:t>(c)</w:t>
            </w:r>
          </w:p>
        </w:tc>
        <w:tc>
          <w:tcPr>
            <w:tcW w:w="6619" w:type="dxa"/>
            <w:gridSpan w:val="3"/>
          </w:tcPr>
          <w:p w14:paraId="6441698B" w14:textId="11AA9365" w:rsidR="005E4491" w:rsidRPr="00B751AE" w:rsidRDefault="005E4491" w:rsidP="002732A2">
            <w:pPr>
              <w:spacing w:line="360" w:lineRule="auto"/>
              <w:jc w:val="both"/>
              <w:rPr>
                <w:rFonts w:asciiTheme="majorBidi" w:hAnsiTheme="majorBidi" w:cstheme="majorBidi"/>
              </w:rPr>
            </w:pPr>
            <w:r w:rsidRPr="005E4491">
              <w:rPr>
                <w:rFonts w:asciiTheme="majorBidi" w:hAnsiTheme="majorBidi" w:cstheme="majorBidi"/>
              </w:rPr>
              <w:t xml:space="preserve">The entities specified in this </w:t>
            </w:r>
            <w:r>
              <w:rPr>
                <w:rFonts w:asciiTheme="majorBidi" w:hAnsiTheme="majorBidi" w:cstheme="majorBidi"/>
              </w:rPr>
              <w:t>section</w:t>
            </w:r>
            <w:r w:rsidRPr="005E4491">
              <w:rPr>
                <w:rFonts w:asciiTheme="majorBidi" w:hAnsiTheme="majorBidi" w:cstheme="majorBidi"/>
              </w:rPr>
              <w:t xml:space="preserve"> must register with the Authority as "Sandbox Participant" to take part in the sandbox, in accordance with these regulations.</w:t>
            </w:r>
          </w:p>
        </w:tc>
      </w:tr>
      <w:tr w:rsidR="00484243" w14:paraId="5DBB0598" w14:textId="77777777" w:rsidTr="00D250C6">
        <w:trPr>
          <w:trHeight w:val="884"/>
        </w:trPr>
        <w:tc>
          <w:tcPr>
            <w:tcW w:w="2055" w:type="dxa"/>
          </w:tcPr>
          <w:p w14:paraId="53010E43" w14:textId="399641F1" w:rsidR="00484243" w:rsidRPr="003A79AF" w:rsidRDefault="00484243" w:rsidP="00484243">
            <w:pPr>
              <w:rPr>
                <w:rFonts w:asciiTheme="majorBidi" w:hAnsiTheme="majorBidi" w:cstheme="majorBidi"/>
                <w:sz w:val="22"/>
                <w:szCs w:val="22"/>
              </w:rPr>
            </w:pPr>
            <w:r w:rsidRPr="003A79AF">
              <w:rPr>
                <w:rFonts w:asciiTheme="majorBidi" w:hAnsiTheme="majorBidi" w:cstheme="majorBidi"/>
                <w:sz w:val="22"/>
                <w:szCs w:val="22"/>
              </w:rPr>
              <w:t>Eligibility Criteria for Sandbox Product and Services</w:t>
            </w:r>
          </w:p>
        </w:tc>
        <w:tc>
          <w:tcPr>
            <w:tcW w:w="627" w:type="dxa"/>
          </w:tcPr>
          <w:p w14:paraId="6A8CFCCD" w14:textId="653AA9DA" w:rsidR="00484243" w:rsidRDefault="00484243" w:rsidP="006528D2">
            <w:pPr>
              <w:rPr>
                <w:rFonts w:asciiTheme="majorBidi" w:hAnsiTheme="majorBidi" w:cstheme="majorBidi"/>
                <w:sz w:val="22"/>
                <w:szCs w:val="22"/>
              </w:rPr>
            </w:pPr>
            <w:r>
              <w:rPr>
                <w:rFonts w:asciiTheme="majorBidi" w:hAnsiTheme="majorBidi" w:cstheme="majorBidi"/>
                <w:sz w:val="22"/>
                <w:szCs w:val="22"/>
              </w:rPr>
              <w:t>4.</w:t>
            </w:r>
          </w:p>
        </w:tc>
        <w:tc>
          <w:tcPr>
            <w:tcW w:w="7247" w:type="dxa"/>
            <w:gridSpan w:val="4"/>
          </w:tcPr>
          <w:p w14:paraId="352B6B2A" w14:textId="29764E25" w:rsidR="00484243" w:rsidRPr="00B751AE" w:rsidRDefault="00484243" w:rsidP="00AC25B5">
            <w:pPr>
              <w:spacing w:line="360" w:lineRule="auto"/>
              <w:jc w:val="both"/>
              <w:rPr>
                <w:rFonts w:asciiTheme="majorBidi" w:hAnsiTheme="majorBidi" w:cstheme="majorBidi"/>
              </w:rPr>
            </w:pPr>
            <w:r w:rsidRPr="00484243">
              <w:rPr>
                <w:rFonts w:asciiTheme="majorBidi" w:hAnsiTheme="majorBidi" w:cstheme="majorBidi"/>
                <w:lang w:val="en"/>
              </w:rPr>
              <w:t>Products or services submitted for participation in the Sandbox must meet the following requirements.</w:t>
            </w:r>
          </w:p>
        </w:tc>
      </w:tr>
      <w:tr w:rsidR="005E4491" w14:paraId="32C2C02B" w14:textId="77777777" w:rsidTr="00D250C6">
        <w:trPr>
          <w:trHeight w:val="884"/>
        </w:trPr>
        <w:tc>
          <w:tcPr>
            <w:tcW w:w="2055" w:type="dxa"/>
          </w:tcPr>
          <w:p w14:paraId="6AD2822A" w14:textId="77777777" w:rsidR="005E4491" w:rsidRDefault="005E4491" w:rsidP="006528D2">
            <w:pPr>
              <w:rPr>
                <w:rFonts w:asciiTheme="majorBidi" w:hAnsiTheme="majorBidi" w:cstheme="majorBidi"/>
                <w:sz w:val="22"/>
                <w:szCs w:val="22"/>
              </w:rPr>
            </w:pPr>
          </w:p>
        </w:tc>
        <w:tc>
          <w:tcPr>
            <w:tcW w:w="627" w:type="dxa"/>
          </w:tcPr>
          <w:p w14:paraId="28D87F51" w14:textId="77777777" w:rsidR="005E4491" w:rsidRDefault="005E4491" w:rsidP="006528D2">
            <w:pPr>
              <w:rPr>
                <w:rFonts w:asciiTheme="majorBidi" w:hAnsiTheme="majorBidi" w:cstheme="majorBidi"/>
                <w:sz w:val="22"/>
                <w:szCs w:val="22"/>
              </w:rPr>
            </w:pPr>
          </w:p>
        </w:tc>
        <w:tc>
          <w:tcPr>
            <w:tcW w:w="628" w:type="dxa"/>
          </w:tcPr>
          <w:p w14:paraId="14991C39" w14:textId="67E8916C" w:rsidR="005E4491" w:rsidRDefault="00484243" w:rsidP="006528D2">
            <w:pPr>
              <w:rPr>
                <w:rFonts w:asciiTheme="majorBidi" w:hAnsiTheme="majorBidi" w:cstheme="majorBidi"/>
                <w:sz w:val="22"/>
                <w:szCs w:val="22"/>
              </w:rPr>
            </w:pPr>
            <w:r>
              <w:rPr>
                <w:rFonts w:asciiTheme="majorBidi" w:hAnsiTheme="majorBidi" w:cstheme="majorBidi"/>
                <w:sz w:val="22"/>
                <w:szCs w:val="22"/>
              </w:rPr>
              <w:t>(a)</w:t>
            </w:r>
          </w:p>
        </w:tc>
        <w:tc>
          <w:tcPr>
            <w:tcW w:w="6619" w:type="dxa"/>
            <w:gridSpan w:val="3"/>
          </w:tcPr>
          <w:p w14:paraId="50DC695C" w14:textId="740B9B3C" w:rsidR="005E4491" w:rsidRPr="00B751AE" w:rsidRDefault="00484243" w:rsidP="00AC25B5">
            <w:pPr>
              <w:spacing w:line="360" w:lineRule="auto"/>
              <w:jc w:val="both"/>
              <w:rPr>
                <w:rFonts w:asciiTheme="majorBidi" w:hAnsiTheme="majorBidi" w:cstheme="majorBidi"/>
              </w:rPr>
            </w:pPr>
            <w:r w:rsidRPr="00484243">
              <w:rPr>
                <w:rFonts w:asciiTheme="majorBidi" w:hAnsiTheme="majorBidi" w:cstheme="majorBidi"/>
              </w:rPr>
              <w:t>The proposed product or service must be beneficial to the Maldivian capital market.</w:t>
            </w:r>
          </w:p>
        </w:tc>
      </w:tr>
      <w:tr w:rsidR="005E4491" w14:paraId="6A6CBF06" w14:textId="77777777" w:rsidTr="00D250C6">
        <w:trPr>
          <w:trHeight w:val="884"/>
        </w:trPr>
        <w:tc>
          <w:tcPr>
            <w:tcW w:w="2055" w:type="dxa"/>
          </w:tcPr>
          <w:p w14:paraId="745311FA" w14:textId="77777777" w:rsidR="005E4491" w:rsidRDefault="005E4491" w:rsidP="006528D2">
            <w:pPr>
              <w:rPr>
                <w:rFonts w:asciiTheme="majorBidi" w:hAnsiTheme="majorBidi" w:cstheme="majorBidi"/>
                <w:sz w:val="22"/>
                <w:szCs w:val="22"/>
              </w:rPr>
            </w:pPr>
          </w:p>
        </w:tc>
        <w:tc>
          <w:tcPr>
            <w:tcW w:w="627" w:type="dxa"/>
          </w:tcPr>
          <w:p w14:paraId="31E5944A" w14:textId="77777777" w:rsidR="005E4491" w:rsidRDefault="005E4491" w:rsidP="006528D2">
            <w:pPr>
              <w:rPr>
                <w:rFonts w:asciiTheme="majorBidi" w:hAnsiTheme="majorBidi" w:cstheme="majorBidi"/>
                <w:sz w:val="22"/>
                <w:szCs w:val="22"/>
              </w:rPr>
            </w:pPr>
          </w:p>
        </w:tc>
        <w:tc>
          <w:tcPr>
            <w:tcW w:w="628" w:type="dxa"/>
          </w:tcPr>
          <w:p w14:paraId="4F76A716" w14:textId="047D8FB6" w:rsidR="005E4491" w:rsidRDefault="00484243" w:rsidP="006528D2">
            <w:pPr>
              <w:rPr>
                <w:rFonts w:asciiTheme="majorBidi" w:hAnsiTheme="majorBidi" w:cstheme="majorBidi"/>
                <w:sz w:val="22"/>
                <w:szCs w:val="22"/>
              </w:rPr>
            </w:pPr>
            <w:r>
              <w:rPr>
                <w:rFonts w:asciiTheme="majorBidi" w:hAnsiTheme="majorBidi" w:cstheme="majorBidi"/>
                <w:sz w:val="22"/>
                <w:szCs w:val="22"/>
              </w:rPr>
              <w:t>(b)</w:t>
            </w:r>
          </w:p>
        </w:tc>
        <w:tc>
          <w:tcPr>
            <w:tcW w:w="6619" w:type="dxa"/>
            <w:gridSpan w:val="3"/>
          </w:tcPr>
          <w:p w14:paraId="15F4C66B" w14:textId="3ED10723" w:rsidR="005E4491" w:rsidRPr="00B751AE" w:rsidRDefault="00484243" w:rsidP="00AC25B5">
            <w:pPr>
              <w:spacing w:line="360" w:lineRule="auto"/>
              <w:jc w:val="both"/>
              <w:rPr>
                <w:rFonts w:asciiTheme="majorBidi" w:hAnsiTheme="majorBidi" w:cstheme="majorBidi"/>
              </w:rPr>
            </w:pPr>
            <w:r w:rsidRPr="00484243">
              <w:rPr>
                <w:rFonts w:asciiTheme="majorBidi" w:hAnsiTheme="majorBidi" w:cstheme="majorBidi"/>
              </w:rPr>
              <w:t>The proposing entity must demonstrate a clear need for testing the proposed product or service.</w:t>
            </w:r>
          </w:p>
        </w:tc>
      </w:tr>
      <w:tr w:rsidR="005E4491" w14:paraId="20CD27A7" w14:textId="77777777" w:rsidTr="00D250C6">
        <w:trPr>
          <w:trHeight w:val="884"/>
        </w:trPr>
        <w:tc>
          <w:tcPr>
            <w:tcW w:w="2055" w:type="dxa"/>
          </w:tcPr>
          <w:p w14:paraId="68E9464F" w14:textId="77777777" w:rsidR="005E4491" w:rsidRDefault="005E4491" w:rsidP="006528D2">
            <w:pPr>
              <w:rPr>
                <w:rFonts w:asciiTheme="majorBidi" w:hAnsiTheme="majorBidi" w:cstheme="majorBidi"/>
                <w:sz w:val="22"/>
                <w:szCs w:val="22"/>
              </w:rPr>
            </w:pPr>
          </w:p>
        </w:tc>
        <w:tc>
          <w:tcPr>
            <w:tcW w:w="627" w:type="dxa"/>
          </w:tcPr>
          <w:p w14:paraId="583B2B93" w14:textId="77777777" w:rsidR="005E4491" w:rsidRDefault="005E4491" w:rsidP="006528D2">
            <w:pPr>
              <w:rPr>
                <w:rFonts w:asciiTheme="majorBidi" w:hAnsiTheme="majorBidi" w:cstheme="majorBidi"/>
                <w:sz w:val="22"/>
                <w:szCs w:val="22"/>
              </w:rPr>
            </w:pPr>
          </w:p>
        </w:tc>
        <w:tc>
          <w:tcPr>
            <w:tcW w:w="628" w:type="dxa"/>
          </w:tcPr>
          <w:p w14:paraId="71038F4D" w14:textId="7298FDB4" w:rsidR="005E4491" w:rsidRDefault="00484243" w:rsidP="006528D2">
            <w:pPr>
              <w:rPr>
                <w:rFonts w:asciiTheme="majorBidi" w:hAnsiTheme="majorBidi" w:cstheme="majorBidi"/>
                <w:sz w:val="22"/>
                <w:szCs w:val="22"/>
              </w:rPr>
            </w:pPr>
            <w:r>
              <w:rPr>
                <w:rFonts w:asciiTheme="majorBidi" w:hAnsiTheme="majorBidi" w:cstheme="majorBidi"/>
                <w:sz w:val="22"/>
                <w:szCs w:val="22"/>
              </w:rPr>
              <w:t>(c)</w:t>
            </w:r>
          </w:p>
        </w:tc>
        <w:tc>
          <w:tcPr>
            <w:tcW w:w="6619" w:type="dxa"/>
            <w:gridSpan w:val="3"/>
          </w:tcPr>
          <w:p w14:paraId="309D6234" w14:textId="7C4F3E9C" w:rsidR="005E4491" w:rsidRPr="00B751AE" w:rsidRDefault="00484243" w:rsidP="00AC25B5">
            <w:pPr>
              <w:spacing w:line="360" w:lineRule="auto"/>
              <w:jc w:val="both"/>
              <w:rPr>
                <w:rFonts w:asciiTheme="majorBidi" w:hAnsiTheme="majorBidi" w:cstheme="majorBidi"/>
              </w:rPr>
            </w:pPr>
            <w:r w:rsidRPr="00484243">
              <w:rPr>
                <w:rFonts w:asciiTheme="majorBidi" w:hAnsiTheme="majorBidi" w:cstheme="majorBidi"/>
              </w:rPr>
              <w:t>Adequate offline tests must have been conducted prior to applying for participation in the regulatory sandbox.</w:t>
            </w:r>
          </w:p>
        </w:tc>
      </w:tr>
      <w:tr w:rsidR="005E4491" w14:paraId="185305ED" w14:textId="77777777" w:rsidTr="00D250C6">
        <w:trPr>
          <w:trHeight w:val="884"/>
        </w:trPr>
        <w:tc>
          <w:tcPr>
            <w:tcW w:w="2055" w:type="dxa"/>
          </w:tcPr>
          <w:p w14:paraId="4780BBB6" w14:textId="77777777" w:rsidR="005E4491" w:rsidRDefault="005E4491" w:rsidP="006528D2">
            <w:pPr>
              <w:rPr>
                <w:rFonts w:asciiTheme="majorBidi" w:hAnsiTheme="majorBidi" w:cstheme="majorBidi"/>
                <w:sz w:val="22"/>
                <w:szCs w:val="22"/>
              </w:rPr>
            </w:pPr>
          </w:p>
        </w:tc>
        <w:tc>
          <w:tcPr>
            <w:tcW w:w="627" w:type="dxa"/>
          </w:tcPr>
          <w:p w14:paraId="30AE1D92" w14:textId="77777777" w:rsidR="005E4491" w:rsidRDefault="005E4491" w:rsidP="006528D2">
            <w:pPr>
              <w:rPr>
                <w:rFonts w:asciiTheme="majorBidi" w:hAnsiTheme="majorBidi" w:cstheme="majorBidi"/>
                <w:sz w:val="22"/>
                <w:szCs w:val="22"/>
              </w:rPr>
            </w:pPr>
          </w:p>
        </w:tc>
        <w:tc>
          <w:tcPr>
            <w:tcW w:w="628" w:type="dxa"/>
          </w:tcPr>
          <w:p w14:paraId="22B12576" w14:textId="3D5D2BF6" w:rsidR="005E4491" w:rsidRDefault="00484243" w:rsidP="006528D2">
            <w:pPr>
              <w:rPr>
                <w:rFonts w:asciiTheme="majorBidi" w:hAnsiTheme="majorBidi" w:cstheme="majorBidi"/>
                <w:sz w:val="22"/>
                <w:szCs w:val="22"/>
              </w:rPr>
            </w:pPr>
            <w:r>
              <w:rPr>
                <w:rFonts w:asciiTheme="majorBidi" w:hAnsiTheme="majorBidi" w:cstheme="majorBidi"/>
                <w:sz w:val="22"/>
                <w:szCs w:val="22"/>
              </w:rPr>
              <w:t>(d)</w:t>
            </w:r>
          </w:p>
        </w:tc>
        <w:tc>
          <w:tcPr>
            <w:tcW w:w="6619" w:type="dxa"/>
            <w:gridSpan w:val="3"/>
          </w:tcPr>
          <w:p w14:paraId="00F6D4EC" w14:textId="638100A7" w:rsidR="005E4491" w:rsidRPr="00B751AE" w:rsidRDefault="00C234C8" w:rsidP="00AC25B5">
            <w:pPr>
              <w:spacing w:line="360" w:lineRule="auto"/>
              <w:jc w:val="both"/>
              <w:rPr>
                <w:rFonts w:asciiTheme="majorBidi" w:hAnsiTheme="majorBidi" w:cstheme="majorBidi"/>
              </w:rPr>
            </w:pPr>
            <w:r w:rsidRPr="00C234C8">
              <w:rPr>
                <w:rFonts w:asciiTheme="majorBidi" w:hAnsiTheme="majorBidi" w:cstheme="majorBidi"/>
              </w:rPr>
              <w:t>The proposed product or service shall provide demonstrable benefits to its users.</w:t>
            </w:r>
          </w:p>
        </w:tc>
      </w:tr>
      <w:tr w:rsidR="005E4491" w14:paraId="46763B27" w14:textId="77777777" w:rsidTr="00D250C6">
        <w:trPr>
          <w:trHeight w:val="884"/>
        </w:trPr>
        <w:tc>
          <w:tcPr>
            <w:tcW w:w="2055" w:type="dxa"/>
          </w:tcPr>
          <w:p w14:paraId="441724AC" w14:textId="77777777" w:rsidR="005E4491" w:rsidRDefault="005E4491" w:rsidP="006528D2">
            <w:pPr>
              <w:rPr>
                <w:rFonts w:asciiTheme="majorBidi" w:hAnsiTheme="majorBidi" w:cstheme="majorBidi"/>
                <w:sz w:val="22"/>
                <w:szCs w:val="22"/>
              </w:rPr>
            </w:pPr>
          </w:p>
        </w:tc>
        <w:tc>
          <w:tcPr>
            <w:tcW w:w="627" w:type="dxa"/>
          </w:tcPr>
          <w:p w14:paraId="46E6BC14" w14:textId="77777777" w:rsidR="005E4491" w:rsidRDefault="005E4491" w:rsidP="006528D2">
            <w:pPr>
              <w:rPr>
                <w:rFonts w:asciiTheme="majorBidi" w:hAnsiTheme="majorBidi" w:cstheme="majorBidi"/>
                <w:sz w:val="22"/>
                <w:szCs w:val="22"/>
              </w:rPr>
            </w:pPr>
          </w:p>
        </w:tc>
        <w:tc>
          <w:tcPr>
            <w:tcW w:w="628" w:type="dxa"/>
          </w:tcPr>
          <w:p w14:paraId="1CCA287B" w14:textId="22DFF71C" w:rsidR="005E4491" w:rsidRDefault="00484243" w:rsidP="006528D2">
            <w:pPr>
              <w:rPr>
                <w:rFonts w:asciiTheme="majorBidi" w:hAnsiTheme="majorBidi" w:cstheme="majorBidi"/>
                <w:sz w:val="22"/>
                <w:szCs w:val="22"/>
              </w:rPr>
            </w:pPr>
            <w:r>
              <w:rPr>
                <w:rFonts w:asciiTheme="majorBidi" w:hAnsiTheme="majorBidi" w:cstheme="majorBidi"/>
                <w:sz w:val="22"/>
                <w:szCs w:val="22"/>
              </w:rPr>
              <w:t>(e)</w:t>
            </w:r>
          </w:p>
        </w:tc>
        <w:tc>
          <w:tcPr>
            <w:tcW w:w="6619" w:type="dxa"/>
            <w:gridSpan w:val="3"/>
          </w:tcPr>
          <w:p w14:paraId="127FA8AA" w14:textId="5859539D" w:rsidR="005E4491" w:rsidRPr="00B751AE" w:rsidRDefault="00C234C8" w:rsidP="002732A2">
            <w:pPr>
              <w:spacing w:line="360" w:lineRule="auto"/>
              <w:jc w:val="both"/>
              <w:rPr>
                <w:rFonts w:asciiTheme="majorBidi" w:hAnsiTheme="majorBidi" w:cstheme="majorBidi"/>
              </w:rPr>
            </w:pPr>
            <w:r w:rsidRPr="00C234C8">
              <w:rPr>
                <w:rFonts w:asciiTheme="majorBidi" w:hAnsiTheme="majorBidi" w:cstheme="majorBidi"/>
              </w:rPr>
              <w:t>A risk management plan, incorporating appropriate measures to mitigate potential risks to investors during the sandbox testing phase, shall be implemented for the proposed product or service.</w:t>
            </w:r>
          </w:p>
        </w:tc>
      </w:tr>
      <w:tr w:rsidR="005E4491" w14:paraId="2A39F329" w14:textId="77777777" w:rsidTr="00D250C6">
        <w:trPr>
          <w:trHeight w:val="884"/>
        </w:trPr>
        <w:tc>
          <w:tcPr>
            <w:tcW w:w="2055" w:type="dxa"/>
          </w:tcPr>
          <w:p w14:paraId="40C82641" w14:textId="77777777" w:rsidR="005E4491" w:rsidRDefault="005E4491" w:rsidP="006528D2">
            <w:pPr>
              <w:rPr>
                <w:rFonts w:asciiTheme="majorBidi" w:hAnsiTheme="majorBidi" w:cstheme="majorBidi"/>
                <w:sz w:val="22"/>
                <w:szCs w:val="22"/>
              </w:rPr>
            </w:pPr>
          </w:p>
        </w:tc>
        <w:tc>
          <w:tcPr>
            <w:tcW w:w="627" w:type="dxa"/>
          </w:tcPr>
          <w:p w14:paraId="59705258" w14:textId="77777777" w:rsidR="005E4491" w:rsidRDefault="005E4491" w:rsidP="006528D2">
            <w:pPr>
              <w:rPr>
                <w:rFonts w:asciiTheme="majorBidi" w:hAnsiTheme="majorBidi" w:cstheme="majorBidi"/>
                <w:sz w:val="22"/>
                <w:szCs w:val="22"/>
              </w:rPr>
            </w:pPr>
          </w:p>
        </w:tc>
        <w:tc>
          <w:tcPr>
            <w:tcW w:w="628" w:type="dxa"/>
          </w:tcPr>
          <w:p w14:paraId="4513E5CA" w14:textId="2A394E0C" w:rsidR="005E4491" w:rsidRDefault="00484243" w:rsidP="006528D2">
            <w:pPr>
              <w:rPr>
                <w:rFonts w:asciiTheme="majorBidi" w:hAnsiTheme="majorBidi" w:cstheme="majorBidi"/>
                <w:sz w:val="22"/>
                <w:szCs w:val="22"/>
              </w:rPr>
            </w:pPr>
            <w:r>
              <w:rPr>
                <w:rFonts w:asciiTheme="majorBidi" w:hAnsiTheme="majorBidi" w:cstheme="majorBidi"/>
                <w:sz w:val="22"/>
                <w:szCs w:val="22"/>
              </w:rPr>
              <w:t>(f)</w:t>
            </w:r>
          </w:p>
        </w:tc>
        <w:tc>
          <w:tcPr>
            <w:tcW w:w="6619" w:type="dxa"/>
            <w:gridSpan w:val="3"/>
          </w:tcPr>
          <w:p w14:paraId="27635ED6" w14:textId="2EDD07A4" w:rsidR="005E4491" w:rsidRPr="00B751AE" w:rsidRDefault="00C234C8" w:rsidP="002732A2">
            <w:pPr>
              <w:spacing w:line="360" w:lineRule="auto"/>
              <w:jc w:val="both"/>
              <w:rPr>
                <w:rFonts w:asciiTheme="majorBidi" w:hAnsiTheme="majorBidi" w:cstheme="majorBidi"/>
              </w:rPr>
            </w:pPr>
            <w:r w:rsidRPr="00C234C8">
              <w:rPr>
                <w:rFonts w:asciiTheme="majorBidi" w:hAnsiTheme="majorBidi" w:cstheme="majorBidi"/>
              </w:rPr>
              <w:t>The proposing entity shall demonstrate both the interest and capacity to deploy the proposed product or service broadly within the Maldivian capital market.</w:t>
            </w:r>
          </w:p>
        </w:tc>
      </w:tr>
      <w:tr w:rsidR="00AC25B5" w14:paraId="10254BAD" w14:textId="77777777" w:rsidTr="00D250C6">
        <w:trPr>
          <w:trHeight w:val="884"/>
        </w:trPr>
        <w:tc>
          <w:tcPr>
            <w:tcW w:w="2055" w:type="dxa"/>
          </w:tcPr>
          <w:p w14:paraId="0C32474F" w14:textId="77777777" w:rsidR="00AC25B5" w:rsidRDefault="00AC25B5" w:rsidP="00AC25B5">
            <w:pPr>
              <w:rPr>
                <w:rFonts w:asciiTheme="majorBidi" w:hAnsiTheme="majorBidi" w:cstheme="majorBidi"/>
                <w:sz w:val="22"/>
                <w:szCs w:val="22"/>
              </w:rPr>
            </w:pPr>
          </w:p>
        </w:tc>
        <w:tc>
          <w:tcPr>
            <w:tcW w:w="627" w:type="dxa"/>
          </w:tcPr>
          <w:p w14:paraId="7FE66C40" w14:textId="77777777" w:rsidR="00AC25B5" w:rsidRDefault="00AC25B5" w:rsidP="00AC25B5">
            <w:pPr>
              <w:rPr>
                <w:rFonts w:asciiTheme="majorBidi" w:hAnsiTheme="majorBidi" w:cstheme="majorBidi"/>
                <w:sz w:val="22"/>
                <w:szCs w:val="22"/>
              </w:rPr>
            </w:pPr>
          </w:p>
        </w:tc>
        <w:tc>
          <w:tcPr>
            <w:tcW w:w="628" w:type="dxa"/>
          </w:tcPr>
          <w:p w14:paraId="45D3C930" w14:textId="3F86EE3E" w:rsidR="00AC25B5" w:rsidRDefault="00AC25B5" w:rsidP="00AC25B5">
            <w:pPr>
              <w:rPr>
                <w:rFonts w:asciiTheme="majorBidi" w:hAnsiTheme="majorBidi" w:cstheme="majorBidi"/>
                <w:sz w:val="22"/>
                <w:szCs w:val="22"/>
              </w:rPr>
            </w:pPr>
            <w:r>
              <w:rPr>
                <w:rFonts w:asciiTheme="majorBidi" w:hAnsiTheme="majorBidi" w:cstheme="majorBidi"/>
                <w:sz w:val="22"/>
                <w:szCs w:val="22"/>
              </w:rPr>
              <w:t>(g)</w:t>
            </w:r>
          </w:p>
        </w:tc>
        <w:tc>
          <w:tcPr>
            <w:tcW w:w="6619" w:type="dxa"/>
            <w:gridSpan w:val="3"/>
          </w:tcPr>
          <w:p w14:paraId="68DA0CAE" w14:textId="2E5A4994" w:rsidR="00AC25B5" w:rsidRPr="00B751AE" w:rsidRDefault="00AC25B5" w:rsidP="00AC25B5">
            <w:pPr>
              <w:spacing w:line="360" w:lineRule="auto"/>
              <w:jc w:val="both"/>
              <w:rPr>
                <w:rFonts w:asciiTheme="majorBidi" w:hAnsiTheme="majorBidi" w:cstheme="majorBidi"/>
              </w:rPr>
            </w:pPr>
            <w:r w:rsidRPr="00C8197E">
              <w:rPr>
                <w:rFonts w:asciiTheme="majorBidi" w:hAnsiTheme="majorBidi" w:cstheme="majorBidi"/>
              </w:rPr>
              <w:t xml:space="preserve">The </w:t>
            </w:r>
            <w:r w:rsidR="00F03705">
              <w:rPr>
                <w:rFonts w:asciiTheme="majorBidi" w:hAnsiTheme="majorBidi" w:cstheme="majorBidi"/>
              </w:rPr>
              <w:t>directors</w:t>
            </w:r>
            <w:r w:rsidR="00624D44">
              <w:rPr>
                <w:rFonts w:asciiTheme="majorBidi" w:hAnsiTheme="majorBidi" w:cstheme="majorBidi"/>
              </w:rPr>
              <w:t>,</w:t>
            </w:r>
            <w:r w:rsidR="00F03705">
              <w:rPr>
                <w:rFonts w:asciiTheme="majorBidi" w:hAnsiTheme="majorBidi" w:cstheme="majorBidi"/>
              </w:rPr>
              <w:t xml:space="preserve"> or partners</w:t>
            </w:r>
            <w:r w:rsidR="00624D44">
              <w:rPr>
                <w:rFonts w:asciiTheme="majorBidi" w:hAnsiTheme="majorBidi" w:cstheme="majorBidi"/>
              </w:rPr>
              <w:t>,</w:t>
            </w:r>
            <w:r w:rsidR="00F03705">
              <w:rPr>
                <w:rFonts w:asciiTheme="majorBidi" w:hAnsiTheme="majorBidi" w:cstheme="majorBidi"/>
              </w:rPr>
              <w:t xml:space="preserve"> and senior management </w:t>
            </w:r>
            <w:r w:rsidRPr="00C8197E">
              <w:rPr>
                <w:rFonts w:asciiTheme="majorBidi" w:hAnsiTheme="majorBidi" w:cstheme="majorBidi"/>
              </w:rPr>
              <w:t>of an applicant seeking sandbox participation shall comply with the standards and requirements specified in the Authority’s "Guidelines on Fitness and Propriety Standards."</w:t>
            </w:r>
          </w:p>
        </w:tc>
      </w:tr>
      <w:tr w:rsidR="005E4491" w14:paraId="0EC9C011" w14:textId="77777777" w:rsidTr="00D250C6">
        <w:trPr>
          <w:trHeight w:val="884"/>
        </w:trPr>
        <w:tc>
          <w:tcPr>
            <w:tcW w:w="2055" w:type="dxa"/>
          </w:tcPr>
          <w:p w14:paraId="01D4E4DF" w14:textId="77777777" w:rsidR="005E4491" w:rsidRDefault="005E4491" w:rsidP="006528D2">
            <w:pPr>
              <w:rPr>
                <w:rFonts w:asciiTheme="majorBidi" w:hAnsiTheme="majorBidi" w:cstheme="majorBidi"/>
                <w:sz w:val="22"/>
                <w:szCs w:val="22"/>
              </w:rPr>
            </w:pPr>
          </w:p>
        </w:tc>
        <w:tc>
          <w:tcPr>
            <w:tcW w:w="627" w:type="dxa"/>
          </w:tcPr>
          <w:p w14:paraId="5F5CFB41" w14:textId="77777777" w:rsidR="005E4491" w:rsidRDefault="005E4491" w:rsidP="006528D2">
            <w:pPr>
              <w:rPr>
                <w:rFonts w:asciiTheme="majorBidi" w:hAnsiTheme="majorBidi" w:cstheme="majorBidi"/>
                <w:sz w:val="22"/>
                <w:szCs w:val="22"/>
              </w:rPr>
            </w:pPr>
          </w:p>
        </w:tc>
        <w:tc>
          <w:tcPr>
            <w:tcW w:w="628" w:type="dxa"/>
          </w:tcPr>
          <w:p w14:paraId="0D1FC7F5" w14:textId="0DDA668D" w:rsidR="005E4491" w:rsidRDefault="00107D93" w:rsidP="006528D2">
            <w:pPr>
              <w:rPr>
                <w:rFonts w:asciiTheme="majorBidi" w:hAnsiTheme="majorBidi" w:cstheme="majorBidi"/>
                <w:sz w:val="22"/>
                <w:szCs w:val="22"/>
              </w:rPr>
            </w:pPr>
            <w:r>
              <w:rPr>
                <w:rFonts w:asciiTheme="majorBidi" w:hAnsiTheme="majorBidi" w:cstheme="majorBidi"/>
                <w:sz w:val="22"/>
                <w:szCs w:val="22"/>
              </w:rPr>
              <w:t>(h)</w:t>
            </w:r>
          </w:p>
        </w:tc>
        <w:tc>
          <w:tcPr>
            <w:tcW w:w="6619" w:type="dxa"/>
            <w:gridSpan w:val="3"/>
          </w:tcPr>
          <w:p w14:paraId="1746B63B" w14:textId="609F2841" w:rsidR="005E4491" w:rsidRPr="00B751AE" w:rsidRDefault="00AC25B5" w:rsidP="00AC25B5">
            <w:pPr>
              <w:spacing w:line="360" w:lineRule="auto"/>
              <w:jc w:val="both"/>
              <w:rPr>
                <w:rFonts w:asciiTheme="majorBidi" w:hAnsiTheme="majorBidi" w:cstheme="majorBidi"/>
              </w:rPr>
            </w:pPr>
            <w:r w:rsidRPr="00AC25B5">
              <w:rPr>
                <w:rFonts w:asciiTheme="majorBidi" w:hAnsiTheme="majorBidi" w:cstheme="majorBidi"/>
              </w:rPr>
              <w:t>Investors in any product or service submitted for participation in the sandbox must be sophisticated investors who satisfy the criteria established by the Authority.</w:t>
            </w:r>
          </w:p>
        </w:tc>
      </w:tr>
      <w:tr w:rsidR="005E4491" w14:paraId="5D721D96" w14:textId="77777777" w:rsidTr="00D250C6">
        <w:trPr>
          <w:trHeight w:val="884"/>
        </w:trPr>
        <w:tc>
          <w:tcPr>
            <w:tcW w:w="2055" w:type="dxa"/>
          </w:tcPr>
          <w:p w14:paraId="6CD9FC5A" w14:textId="77777777" w:rsidR="005E4491" w:rsidRDefault="005E4491" w:rsidP="006528D2">
            <w:pPr>
              <w:rPr>
                <w:rFonts w:asciiTheme="majorBidi" w:hAnsiTheme="majorBidi" w:cstheme="majorBidi"/>
                <w:sz w:val="22"/>
                <w:szCs w:val="22"/>
              </w:rPr>
            </w:pPr>
          </w:p>
        </w:tc>
        <w:tc>
          <w:tcPr>
            <w:tcW w:w="627" w:type="dxa"/>
          </w:tcPr>
          <w:p w14:paraId="01B30109" w14:textId="77777777" w:rsidR="005E4491" w:rsidRDefault="005E4491" w:rsidP="006528D2">
            <w:pPr>
              <w:rPr>
                <w:rFonts w:asciiTheme="majorBidi" w:hAnsiTheme="majorBidi" w:cstheme="majorBidi"/>
                <w:sz w:val="22"/>
                <w:szCs w:val="22"/>
              </w:rPr>
            </w:pPr>
          </w:p>
        </w:tc>
        <w:tc>
          <w:tcPr>
            <w:tcW w:w="628" w:type="dxa"/>
          </w:tcPr>
          <w:p w14:paraId="4B3B5EF5" w14:textId="71E3E91D" w:rsidR="005E4491" w:rsidRDefault="00C8197E" w:rsidP="006528D2">
            <w:pPr>
              <w:rPr>
                <w:rFonts w:asciiTheme="majorBidi" w:hAnsiTheme="majorBidi" w:cstheme="majorBidi"/>
                <w:sz w:val="22"/>
                <w:szCs w:val="22"/>
              </w:rPr>
            </w:pPr>
            <w:r>
              <w:rPr>
                <w:rFonts w:asciiTheme="majorBidi" w:hAnsiTheme="majorBidi" w:cstheme="majorBidi"/>
                <w:sz w:val="22"/>
                <w:szCs w:val="22"/>
              </w:rPr>
              <w:t>(</w:t>
            </w:r>
            <w:proofErr w:type="spellStart"/>
            <w:r>
              <w:rPr>
                <w:rFonts w:asciiTheme="majorBidi" w:hAnsiTheme="majorBidi" w:cstheme="majorBidi"/>
                <w:sz w:val="22"/>
                <w:szCs w:val="22"/>
              </w:rPr>
              <w:t>i</w:t>
            </w:r>
            <w:proofErr w:type="spellEnd"/>
            <w:r>
              <w:rPr>
                <w:rFonts w:asciiTheme="majorBidi" w:hAnsiTheme="majorBidi" w:cstheme="majorBidi"/>
                <w:sz w:val="22"/>
                <w:szCs w:val="22"/>
              </w:rPr>
              <w:t>)</w:t>
            </w:r>
          </w:p>
        </w:tc>
        <w:tc>
          <w:tcPr>
            <w:tcW w:w="6619" w:type="dxa"/>
            <w:gridSpan w:val="3"/>
          </w:tcPr>
          <w:p w14:paraId="3FB6A8AF" w14:textId="4B21FBFF" w:rsidR="005E4491" w:rsidRPr="00B751AE" w:rsidRDefault="00C8197E" w:rsidP="002732A2">
            <w:pPr>
              <w:spacing w:line="360" w:lineRule="auto"/>
              <w:jc w:val="both"/>
              <w:rPr>
                <w:rFonts w:asciiTheme="majorBidi" w:hAnsiTheme="majorBidi" w:cstheme="majorBidi"/>
              </w:rPr>
            </w:pPr>
            <w:r w:rsidRPr="00C8197E">
              <w:rPr>
                <w:rFonts w:asciiTheme="majorBidi" w:hAnsiTheme="majorBidi" w:cstheme="majorBidi"/>
              </w:rPr>
              <w:t>The number of investors participating in the proposed product or service during the sandbox testing phase shall be subject to the approval of the Authority, which reserves the right to determine the maximum number of participants.</w:t>
            </w:r>
          </w:p>
        </w:tc>
      </w:tr>
      <w:tr w:rsidR="00484243" w14:paraId="5B234B0B" w14:textId="77777777" w:rsidTr="00D250C6">
        <w:trPr>
          <w:trHeight w:val="884"/>
        </w:trPr>
        <w:tc>
          <w:tcPr>
            <w:tcW w:w="2055" w:type="dxa"/>
          </w:tcPr>
          <w:p w14:paraId="10E313F8" w14:textId="77777777" w:rsidR="00484243" w:rsidRDefault="00484243" w:rsidP="006528D2">
            <w:pPr>
              <w:rPr>
                <w:rFonts w:asciiTheme="majorBidi" w:hAnsiTheme="majorBidi" w:cstheme="majorBidi"/>
                <w:sz w:val="22"/>
                <w:szCs w:val="22"/>
              </w:rPr>
            </w:pPr>
          </w:p>
        </w:tc>
        <w:tc>
          <w:tcPr>
            <w:tcW w:w="627" w:type="dxa"/>
          </w:tcPr>
          <w:p w14:paraId="7281C7B7" w14:textId="77777777" w:rsidR="00484243" w:rsidRDefault="00484243" w:rsidP="006528D2">
            <w:pPr>
              <w:rPr>
                <w:rFonts w:asciiTheme="majorBidi" w:hAnsiTheme="majorBidi" w:cstheme="majorBidi"/>
                <w:sz w:val="22"/>
                <w:szCs w:val="22"/>
              </w:rPr>
            </w:pPr>
          </w:p>
        </w:tc>
        <w:tc>
          <w:tcPr>
            <w:tcW w:w="628" w:type="dxa"/>
          </w:tcPr>
          <w:p w14:paraId="77D7A147" w14:textId="30A0C714" w:rsidR="00484243" w:rsidRDefault="00C8197E" w:rsidP="006528D2">
            <w:pPr>
              <w:rPr>
                <w:rFonts w:asciiTheme="majorBidi" w:hAnsiTheme="majorBidi" w:cstheme="majorBidi"/>
                <w:sz w:val="22"/>
                <w:szCs w:val="22"/>
              </w:rPr>
            </w:pPr>
            <w:r>
              <w:rPr>
                <w:rFonts w:asciiTheme="majorBidi" w:hAnsiTheme="majorBidi" w:cstheme="majorBidi"/>
                <w:sz w:val="22"/>
                <w:szCs w:val="22"/>
              </w:rPr>
              <w:t>(j)</w:t>
            </w:r>
          </w:p>
        </w:tc>
        <w:tc>
          <w:tcPr>
            <w:tcW w:w="6619" w:type="dxa"/>
            <w:gridSpan w:val="3"/>
          </w:tcPr>
          <w:p w14:paraId="26530CEB" w14:textId="3C9A2D65" w:rsidR="00484243" w:rsidRPr="00484243" w:rsidRDefault="00C8197E" w:rsidP="002732A2">
            <w:pPr>
              <w:spacing w:line="360" w:lineRule="auto"/>
              <w:jc w:val="both"/>
              <w:rPr>
                <w:rFonts w:asciiTheme="majorBidi" w:hAnsiTheme="majorBidi" w:cstheme="majorBidi"/>
              </w:rPr>
            </w:pPr>
            <w:r w:rsidRPr="00C8197E">
              <w:rPr>
                <w:rFonts w:asciiTheme="majorBidi" w:hAnsiTheme="majorBidi" w:cstheme="majorBidi"/>
              </w:rPr>
              <w:t>The product or service submitted for sandbox participation shall undergo testing for a minimum period of six (6) months and a maximum period of twelve (12) months.</w:t>
            </w:r>
          </w:p>
        </w:tc>
      </w:tr>
      <w:tr w:rsidR="00C8197E" w14:paraId="2A2EF48D" w14:textId="77777777" w:rsidTr="00D250C6">
        <w:trPr>
          <w:trHeight w:val="884"/>
        </w:trPr>
        <w:tc>
          <w:tcPr>
            <w:tcW w:w="2055" w:type="dxa"/>
          </w:tcPr>
          <w:p w14:paraId="7402BD42" w14:textId="77777777" w:rsidR="00C8197E" w:rsidRDefault="00C8197E" w:rsidP="00C8197E">
            <w:pPr>
              <w:rPr>
                <w:rFonts w:asciiTheme="majorBidi" w:hAnsiTheme="majorBidi" w:cstheme="majorBidi"/>
                <w:sz w:val="22"/>
                <w:szCs w:val="22"/>
              </w:rPr>
            </w:pPr>
          </w:p>
        </w:tc>
        <w:tc>
          <w:tcPr>
            <w:tcW w:w="627" w:type="dxa"/>
          </w:tcPr>
          <w:p w14:paraId="28238C22" w14:textId="77777777" w:rsidR="00C8197E" w:rsidRDefault="00C8197E" w:rsidP="00C8197E">
            <w:pPr>
              <w:rPr>
                <w:rFonts w:asciiTheme="majorBidi" w:hAnsiTheme="majorBidi" w:cstheme="majorBidi"/>
                <w:sz w:val="22"/>
                <w:szCs w:val="22"/>
              </w:rPr>
            </w:pPr>
          </w:p>
        </w:tc>
        <w:tc>
          <w:tcPr>
            <w:tcW w:w="628" w:type="dxa"/>
          </w:tcPr>
          <w:p w14:paraId="76C3B144" w14:textId="0552A600" w:rsidR="00C8197E" w:rsidRDefault="00C8197E" w:rsidP="00C8197E">
            <w:pPr>
              <w:rPr>
                <w:rFonts w:asciiTheme="majorBidi" w:hAnsiTheme="majorBidi" w:cstheme="majorBidi"/>
                <w:sz w:val="22"/>
                <w:szCs w:val="22"/>
              </w:rPr>
            </w:pPr>
            <w:r>
              <w:rPr>
                <w:rFonts w:asciiTheme="majorBidi" w:hAnsiTheme="majorBidi" w:cstheme="majorBidi"/>
                <w:sz w:val="22"/>
                <w:szCs w:val="22"/>
              </w:rPr>
              <w:t>(k)</w:t>
            </w:r>
          </w:p>
        </w:tc>
        <w:tc>
          <w:tcPr>
            <w:tcW w:w="6619" w:type="dxa"/>
            <w:gridSpan w:val="3"/>
          </w:tcPr>
          <w:p w14:paraId="4C747164" w14:textId="1B77EC36" w:rsidR="00C8197E" w:rsidRPr="00484243" w:rsidRDefault="00C8197E" w:rsidP="00AC25B5">
            <w:pPr>
              <w:spacing w:line="360" w:lineRule="auto"/>
              <w:jc w:val="both"/>
              <w:rPr>
                <w:rFonts w:asciiTheme="majorBidi" w:hAnsiTheme="majorBidi" w:cstheme="majorBidi"/>
              </w:rPr>
            </w:pPr>
            <w:r w:rsidRPr="00484243">
              <w:rPr>
                <w:rFonts w:asciiTheme="majorBidi" w:hAnsiTheme="majorBidi" w:cstheme="majorBidi"/>
              </w:rPr>
              <w:t xml:space="preserve">The proposed product or service for sandbox participation must incorporate processes for mitigating and regularly monitoring risks related to money laundering and financing of terrorism, in accordance with Law No. 2014/10 (Prevention of Money Laundering and Financing of Terrorism Act) and </w:t>
            </w:r>
            <w:r w:rsidR="00AC25B5" w:rsidRPr="00AC25B5">
              <w:rPr>
                <w:rFonts w:asciiTheme="majorBidi" w:hAnsiTheme="majorBidi" w:cstheme="majorBidi"/>
              </w:rPr>
              <w:t>the regulations issued thereunder.</w:t>
            </w:r>
          </w:p>
        </w:tc>
      </w:tr>
      <w:tr w:rsidR="00C8197E" w14:paraId="487E7A1B" w14:textId="77777777" w:rsidTr="00D250C6">
        <w:trPr>
          <w:trHeight w:val="884"/>
        </w:trPr>
        <w:tc>
          <w:tcPr>
            <w:tcW w:w="2055" w:type="dxa"/>
          </w:tcPr>
          <w:p w14:paraId="66689C4A" w14:textId="77777777" w:rsidR="00C8197E" w:rsidRDefault="00C8197E" w:rsidP="00C8197E">
            <w:pPr>
              <w:rPr>
                <w:rFonts w:asciiTheme="majorBidi" w:hAnsiTheme="majorBidi" w:cstheme="majorBidi"/>
                <w:sz w:val="22"/>
                <w:szCs w:val="22"/>
              </w:rPr>
            </w:pPr>
          </w:p>
        </w:tc>
        <w:tc>
          <w:tcPr>
            <w:tcW w:w="627" w:type="dxa"/>
          </w:tcPr>
          <w:p w14:paraId="56409F45" w14:textId="77777777" w:rsidR="00C8197E" w:rsidRDefault="00C8197E" w:rsidP="00C8197E">
            <w:pPr>
              <w:rPr>
                <w:rFonts w:asciiTheme="majorBidi" w:hAnsiTheme="majorBidi" w:cstheme="majorBidi"/>
                <w:sz w:val="22"/>
                <w:szCs w:val="22"/>
              </w:rPr>
            </w:pPr>
          </w:p>
        </w:tc>
        <w:tc>
          <w:tcPr>
            <w:tcW w:w="628" w:type="dxa"/>
          </w:tcPr>
          <w:p w14:paraId="082AF27C" w14:textId="7E7C1DC1" w:rsidR="00C8197E" w:rsidRDefault="00C8197E" w:rsidP="00C8197E">
            <w:pPr>
              <w:rPr>
                <w:rFonts w:asciiTheme="majorBidi" w:hAnsiTheme="majorBidi" w:cstheme="majorBidi"/>
                <w:sz w:val="22"/>
                <w:szCs w:val="22"/>
              </w:rPr>
            </w:pPr>
            <w:r>
              <w:rPr>
                <w:rFonts w:asciiTheme="majorBidi" w:hAnsiTheme="majorBidi" w:cstheme="majorBidi"/>
                <w:sz w:val="22"/>
                <w:szCs w:val="22"/>
              </w:rPr>
              <w:t>(l)</w:t>
            </w:r>
          </w:p>
        </w:tc>
        <w:tc>
          <w:tcPr>
            <w:tcW w:w="6619" w:type="dxa"/>
            <w:gridSpan w:val="3"/>
          </w:tcPr>
          <w:p w14:paraId="72A53F68" w14:textId="7639AB03" w:rsidR="00C8197E" w:rsidRPr="00484243" w:rsidRDefault="003A79AF" w:rsidP="002732A2">
            <w:pPr>
              <w:spacing w:line="360" w:lineRule="auto"/>
              <w:jc w:val="both"/>
              <w:rPr>
                <w:rFonts w:asciiTheme="majorBidi" w:hAnsiTheme="majorBidi" w:cstheme="majorBidi"/>
              </w:rPr>
            </w:pPr>
            <w:r>
              <w:rPr>
                <w:rFonts w:asciiTheme="majorBidi" w:hAnsiTheme="majorBidi" w:cstheme="majorBidi"/>
              </w:rPr>
              <w:t>R</w:t>
            </w:r>
            <w:r w:rsidR="00C8197E" w:rsidRPr="00484243">
              <w:rPr>
                <w:rFonts w:asciiTheme="majorBidi" w:hAnsiTheme="majorBidi" w:cstheme="majorBidi"/>
              </w:rPr>
              <w:t>isks associated with investing in the proposed product or service for sandbox participation must be clearly and comprehensively disclosed to investors.</w:t>
            </w:r>
          </w:p>
        </w:tc>
      </w:tr>
      <w:tr w:rsidR="003A79AF" w14:paraId="5DD2A0A2" w14:textId="77777777" w:rsidTr="007913D9">
        <w:trPr>
          <w:trHeight w:val="884"/>
        </w:trPr>
        <w:tc>
          <w:tcPr>
            <w:tcW w:w="9929" w:type="dxa"/>
            <w:gridSpan w:val="6"/>
          </w:tcPr>
          <w:p w14:paraId="7338BFC0" w14:textId="77777777" w:rsidR="003A79AF" w:rsidRDefault="003A79AF" w:rsidP="003A79AF">
            <w:pPr>
              <w:jc w:val="center"/>
              <w:rPr>
                <w:rFonts w:asciiTheme="majorBidi" w:hAnsiTheme="majorBidi" w:cstheme="majorBidi"/>
              </w:rPr>
            </w:pPr>
          </w:p>
          <w:p w14:paraId="2289DEC0" w14:textId="77777777" w:rsidR="003A79AF" w:rsidRPr="003A79AF" w:rsidRDefault="003A79AF" w:rsidP="003A79AF">
            <w:pPr>
              <w:jc w:val="center"/>
              <w:rPr>
                <w:rFonts w:asciiTheme="majorBidi" w:hAnsiTheme="majorBidi" w:cstheme="majorBidi"/>
                <w:b/>
                <w:bCs/>
              </w:rPr>
            </w:pPr>
            <w:r w:rsidRPr="003A79AF">
              <w:rPr>
                <w:rFonts w:asciiTheme="majorBidi" w:hAnsiTheme="majorBidi" w:cstheme="majorBidi"/>
                <w:b/>
                <w:bCs/>
              </w:rPr>
              <w:t>Chapter 3</w:t>
            </w:r>
          </w:p>
          <w:p w14:paraId="4FB193C8" w14:textId="77777777" w:rsidR="003A79AF" w:rsidRPr="003A79AF" w:rsidRDefault="003A79AF" w:rsidP="003A79AF">
            <w:pPr>
              <w:jc w:val="center"/>
              <w:rPr>
                <w:rFonts w:asciiTheme="majorBidi" w:hAnsiTheme="majorBidi" w:cstheme="majorBidi"/>
                <w:b/>
                <w:bCs/>
              </w:rPr>
            </w:pPr>
          </w:p>
          <w:p w14:paraId="3A562096" w14:textId="77777777" w:rsidR="003A79AF" w:rsidRPr="003A79AF" w:rsidRDefault="003A79AF" w:rsidP="003A79AF">
            <w:pPr>
              <w:jc w:val="center"/>
              <w:rPr>
                <w:rFonts w:asciiTheme="majorBidi" w:hAnsiTheme="majorBidi" w:cstheme="majorBidi"/>
                <w:b/>
                <w:bCs/>
              </w:rPr>
            </w:pPr>
            <w:r w:rsidRPr="003A79AF">
              <w:rPr>
                <w:rFonts w:asciiTheme="majorBidi" w:hAnsiTheme="majorBidi" w:cstheme="majorBidi"/>
                <w:b/>
                <w:bCs/>
              </w:rPr>
              <w:t>Application to Participate in the Sandbox</w:t>
            </w:r>
          </w:p>
          <w:p w14:paraId="59C7B75F" w14:textId="14913A91" w:rsidR="003A79AF" w:rsidRPr="00484243" w:rsidRDefault="003A79AF" w:rsidP="003A79AF">
            <w:pPr>
              <w:jc w:val="center"/>
              <w:rPr>
                <w:rFonts w:asciiTheme="majorBidi" w:hAnsiTheme="majorBidi" w:cstheme="majorBidi"/>
              </w:rPr>
            </w:pPr>
          </w:p>
        </w:tc>
      </w:tr>
      <w:tr w:rsidR="00C8197E" w14:paraId="20FA5822" w14:textId="77777777" w:rsidTr="00D250C6">
        <w:trPr>
          <w:trHeight w:val="884"/>
        </w:trPr>
        <w:tc>
          <w:tcPr>
            <w:tcW w:w="2055" w:type="dxa"/>
          </w:tcPr>
          <w:p w14:paraId="3261A5CD" w14:textId="528ABC80" w:rsidR="003A79AF" w:rsidRPr="003A79AF" w:rsidRDefault="003A79AF" w:rsidP="003A79AF">
            <w:pPr>
              <w:jc w:val="both"/>
              <w:rPr>
                <w:rFonts w:asciiTheme="majorBidi" w:hAnsiTheme="majorBidi" w:cstheme="majorBidi"/>
                <w:sz w:val="22"/>
                <w:szCs w:val="22"/>
              </w:rPr>
            </w:pPr>
            <w:r w:rsidRPr="003A79AF">
              <w:rPr>
                <w:rFonts w:asciiTheme="majorBidi" w:hAnsiTheme="majorBidi" w:cstheme="majorBidi"/>
                <w:sz w:val="22"/>
                <w:szCs w:val="22"/>
              </w:rPr>
              <w:t>Pre-Application Consultation</w:t>
            </w:r>
            <w:r>
              <w:rPr>
                <w:rFonts w:asciiTheme="majorBidi" w:hAnsiTheme="majorBidi" w:cstheme="majorBidi"/>
                <w:sz w:val="22"/>
                <w:szCs w:val="22"/>
              </w:rPr>
              <w:t xml:space="preserve"> </w:t>
            </w:r>
            <w:r w:rsidRPr="003A79AF">
              <w:rPr>
                <w:rFonts w:asciiTheme="majorBidi" w:hAnsiTheme="majorBidi" w:cstheme="majorBidi"/>
                <w:sz w:val="22"/>
                <w:szCs w:val="22"/>
              </w:rPr>
              <w:t>With the Authority</w:t>
            </w:r>
          </w:p>
          <w:p w14:paraId="746960FB" w14:textId="77777777" w:rsidR="00C8197E" w:rsidRDefault="00C8197E" w:rsidP="00C8197E">
            <w:pPr>
              <w:rPr>
                <w:rFonts w:asciiTheme="majorBidi" w:hAnsiTheme="majorBidi" w:cstheme="majorBidi"/>
                <w:sz w:val="22"/>
                <w:szCs w:val="22"/>
              </w:rPr>
            </w:pPr>
          </w:p>
        </w:tc>
        <w:tc>
          <w:tcPr>
            <w:tcW w:w="627" w:type="dxa"/>
          </w:tcPr>
          <w:p w14:paraId="09BA803D" w14:textId="7EACD32A" w:rsidR="00C8197E" w:rsidRDefault="003A79AF" w:rsidP="00C8197E">
            <w:pPr>
              <w:rPr>
                <w:rFonts w:asciiTheme="majorBidi" w:hAnsiTheme="majorBidi" w:cstheme="majorBidi"/>
                <w:sz w:val="22"/>
                <w:szCs w:val="22"/>
              </w:rPr>
            </w:pPr>
            <w:r>
              <w:rPr>
                <w:rFonts w:asciiTheme="majorBidi" w:hAnsiTheme="majorBidi" w:cstheme="majorBidi"/>
                <w:sz w:val="22"/>
                <w:szCs w:val="22"/>
              </w:rPr>
              <w:t>5.</w:t>
            </w:r>
          </w:p>
        </w:tc>
        <w:tc>
          <w:tcPr>
            <w:tcW w:w="628" w:type="dxa"/>
          </w:tcPr>
          <w:p w14:paraId="52D64BCC" w14:textId="0B728BE8" w:rsidR="00C8197E" w:rsidRDefault="003A79AF" w:rsidP="00C8197E">
            <w:pPr>
              <w:rPr>
                <w:rFonts w:asciiTheme="majorBidi" w:hAnsiTheme="majorBidi" w:cstheme="majorBidi"/>
                <w:sz w:val="22"/>
                <w:szCs w:val="22"/>
              </w:rPr>
            </w:pPr>
            <w:r>
              <w:rPr>
                <w:rFonts w:asciiTheme="majorBidi" w:hAnsiTheme="majorBidi" w:cstheme="majorBidi"/>
                <w:sz w:val="22"/>
                <w:szCs w:val="22"/>
              </w:rPr>
              <w:t>(a)</w:t>
            </w:r>
          </w:p>
        </w:tc>
        <w:tc>
          <w:tcPr>
            <w:tcW w:w="6619" w:type="dxa"/>
            <w:gridSpan w:val="3"/>
          </w:tcPr>
          <w:p w14:paraId="0226AE53" w14:textId="3D221D22" w:rsidR="00C8197E" w:rsidRPr="00484243" w:rsidRDefault="00D21509" w:rsidP="002732A2">
            <w:pPr>
              <w:spacing w:line="360" w:lineRule="auto"/>
              <w:jc w:val="both"/>
              <w:rPr>
                <w:rFonts w:asciiTheme="majorBidi" w:hAnsiTheme="majorBidi" w:cstheme="majorBidi"/>
              </w:rPr>
            </w:pPr>
            <w:r w:rsidRPr="00D21509">
              <w:rPr>
                <w:rFonts w:asciiTheme="majorBidi" w:hAnsiTheme="majorBidi" w:cstheme="majorBidi"/>
              </w:rPr>
              <w:t>Applicants shall hold at least one consultation meeting with the Authority prior to submitting a formal application and shall provide all information necessary for the Authority to evaluate the nature of the proposed product or service and assess its regulatory implications.</w:t>
            </w:r>
          </w:p>
        </w:tc>
      </w:tr>
      <w:tr w:rsidR="00C8197E" w14:paraId="57EAFF0C" w14:textId="77777777" w:rsidTr="00D250C6">
        <w:trPr>
          <w:trHeight w:val="884"/>
        </w:trPr>
        <w:tc>
          <w:tcPr>
            <w:tcW w:w="2055" w:type="dxa"/>
          </w:tcPr>
          <w:p w14:paraId="3F13C9C0" w14:textId="77777777" w:rsidR="00C8197E" w:rsidRDefault="00C8197E" w:rsidP="00C8197E">
            <w:pPr>
              <w:rPr>
                <w:rFonts w:asciiTheme="majorBidi" w:hAnsiTheme="majorBidi" w:cstheme="majorBidi"/>
                <w:sz w:val="22"/>
                <w:szCs w:val="22"/>
              </w:rPr>
            </w:pPr>
          </w:p>
        </w:tc>
        <w:tc>
          <w:tcPr>
            <w:tcW w:w="627" w:type="dxa"/>
          </w:tcPr>
          <w:p w14:paraId="752F9A79" w14:textId="77777777" w:rsidR="00C8197E" w:rsidRDefault="00C8197E" w:rsidP="00C8197E">
            <w:pPr>
              <w:rPr>
                <w:rFonts w:asciiTheme="majorBidi" w:hAnsiTheme="majorBidi" w:cstheme="majorBidi"/>
                <w:sz w:val="22"/>
                <w:szCs w:val="22"/>
              </w:rPr>
            </w:pPr>
          </w:p>
        </w:tc>
        <w:tc>
          <w:tcPr>
            <w:tcW w:w="628" w:type="dxa"/>
          </w:tcPr>
          <w:p w14:paraId="3E45F7FD" w14:textId="2B577C4A" w:rsidR="00C8197E" w:rsidRDefault="00D21509" w:rsidP="00C8197E">
            <w:pPr>
              <w:rPr>
                <w:rFonts w:asciiTheme="majorBidi" w:hAnsiTheme="majorBidi" w:cstheme="majorBidi"/>
                <w:sz w:val="22"/>
                <w:szCs w:val="22"/>
              </w:rPr>
            </w:pPr>
            <w:r>
              <w:rPr>
                <w:rFonts w:asciiTheme="majorBidi" w:hAnsiTheme="majorBidi" w:cstheme="majorBidi"/>
                <w:sz w:val="22"/>
                <w:szCs w:val="22"/>
              </w:rPr>
              <w:t xml:space="preserve">(b) </w:t>
            </w:r>
          </w:p>
        </w:tc>
        <w:tc>
          <w:tcPr>
            <w:tcW w:w="6619" w:type="dxa"/>
            <w:gridSpan w:val="3"/>
          </w:tcPr>
          <w:p w14:paraId="1D476B45" w14:textId="4FCD5C68" w:rsidR="00C8197E" w:rsidRPr="00810F5A" w:rsidRDefault="00810F5A" w:rsidP="002732A2">
            <w:pPr>
              <w:spacing w:line="360" w:lineRule="auto"/>
              <w:jc w:val="both"/>
              <w:rPr>
                <w:rFonts w:asciiTheme="majorBidi" w:hAnsiTheme="majorBidi" w:cstheme="majorBidi"/>
              </w:rPr>
            </w:pPr>
            <w:r w:rsidRPr="00810F5A">
              <w:rPr>
                <w:rFonts w:asciiTheme="majorBidi" w:hAnsiTheme="majorBidi" w:cstheme="majorBidi"/>
              </w:rPr>
              <w:t>Any party wishing to participate in the sandbox shall submit a request for a consultation meeting in the manner determined by the Authority.</w:t>
            </w:r>
          </w:p>
        </w:tc>
      </w:tr>
      <w:tr w:rsidR="00C8197E" w14:paraId="777740D5" w14:textId="77777777" w:rsidTr="00D250C6">
        <w:trPr>
          <w:trHeight w:val="884"/>
        </w:trPr>
        <w:tc>
          <w:tcPr>
            <w:tcW w:w="2055" w:type="dxa"/>
          </w:tcPr>
          <w:p w14:paraId="6D47460D" w14:textId="77777777" w:rsidR="00C8197E" w:rsidRDefault="00C8197E" w:rsidP="00C8197E">
            <w:pPr>
              <w:rPr>
                <w:rFonts w:asciiTheme="majorBidi" w:hAnsiTheme="majorBidi" w:cstheme="majorBidi"/>
                <w:sz w:val="22"/>
                <w:szCs w:val="22"/>
              </w:rPr>
            </w:pPr>
          </w:p>
        </w:tc>
        <w:tc>
          <w:tcPr>
            <w:tcW w:w="627" w:type="dxa"/>
          </w:tcPr>
          <w:p w14:paraId="625740A1" w14:textId="77777777" w:rsidR="00C8197E" w:rsidRDefault="00C8197E" w:rsidP="00C8197E">
            <w:pPr>
              <w:rPr>
                <w:rFonts w:asciiTheme="majorBidi" w:hAnsiTheme="majorBidi" w:cstheme="majorBidi"/>
                <w:sz w:val="22"/>
                <w:szCs w:val="22"/>
              </w:rPr>
            </w:pPr>
          </w:p>
        </w:tc>
        <w:tc>
          <w:tcPr>
            <w:tcW w:w="628" w:type="dxa"/>
          </w:tcPr>
          <w:p w14:paraId="48574D82" w14:textId="20634FAF" w:rsidR="00C8197E" w:rsidRDefault="0032669C" w:rsidP="00C8197E">
            <w:pPr>
              <w:rPr>
                <w:rFonts w:asciiTheme="majorBidi" w:hAnsiTheme="majorBidi" w:cstheme="majorBidi"/>
                <w:sz w:val="22"/>
                <w:szCs w:val="22"/>
              </w:rPr>
            </w:pPr>
            <w:r>
              <w:rPr>
                <w:rFonts w:asciiTheme="majorBidi" w:hAnsiTheme="majorBidi" w:cstheme="majorBidi"/>
                <w:sz w:val="22"/>
                <w:szCs w:val="22"/>
              </w:rPr>
              <w:t>(c)</w:t>
            </w:r>
          </w:p>
        </w:tc>
        <w:tc>
          <w:tcPr>
            <w:tcW w:w="6619" w:type="dxa"/>
            <w:gridSpan w:val="3"/>
          </w:tcPr>
          <w:p w14:paraId="58455914" w14:textId="34F3AB8F" w:rsidR="00C8197E" w:rsidRPr="00484243" w:rsidRDefault="0032669C" w:rsidP="002732A2">
            <w:pPr>
              <w:spacing w:line="360" w:lineRule="auto"/>
              <w:jc w:val="both"/>
              <w:rPr>
                <w:rFonts w:asciiTheme="majorBidi" w:hAnsiTheme="majorBidi" w:cstheme="majorBidi"/>
              </w:rPr>
            </w:pPr>
            <w:r w:rsidRPr="0032669C">
              <w:rPr>
                <w:rFonts w:asciiTheme="majorBidi" w:hAnsiTheme="majorBidi" w:cstheme="majorBidi"/>
              </w:rPr>
              <w:t xml:space="preserve">The Authority may, if it deems necessary, designate the parties referred to in section 3(b) of this Regulation to attend a capital market </w:t>
            </w:r>
            <w:r>
              <w:rPr>
                <w:rFonts w:asciiTheme="majorBidi" w:hAnsiTheme="majorBidi" w:cstheme="majorBidi"/>
              </w:rPr>
              <w:t>training</w:t>
            </w:r>
            <w:r w:rsidRPr="0032669C">
              <w:rPr>
                <w:rFonts w:asciiTheme="majorBidi" w:hAnsiTheme="majorBidi" w:cstheme="majorBidi"/>
              </w:rPr>
              <w:t xml:space="preserve"> program conducted by the Authority.</w:t>
            </w:r>
          </w:p>
        </w:tc>
      </w:tr>
      <w:tr w:rsidR="00C8197E" w14:paraId="61C4CE9C" w14:textId="77777777" w:rsidTr="00D250C6">
        <w:trPr>
          <w:trHeight w:val="884"/>
        </w:trPr>
        <w:tc>
          <w:tcPr>
            <w:tcW w:w="2055" w:type="dxa"/>
          </w:tcPr>
          <w:p w14:paraId="34FF3326" w14:textId="77777777" w:rsidR="00C8197E" w:rsidRDefault="00C8197E" w:rsidP="00C8197E">
            <w:pPr>
              <w:rPr>
                <w:rFonts w:asciiTheme="majorBidi" w:hAnsiTheme="majorBidi" w:cstheme="majorBidi"/>
                <w:sz w:val="22"/>
                <w:szCs w:val="22"/>
              </w:rPr>
            </w:pPr>
          </w:p>
        </w:tc>
        <w:tc>
          <w:tcPr>
            <w:tcW w:w="627" w:type="dxa"/>
          </w:tcPr>
          <w:p w14:paraId="3D5A17BD" w14:textId="77777777" w:rsidR="00C8197E" w:rsidRDefault="00C8197E" w:rsidP="00C8197E">
            <w:pPr>
              <w:rPr>
                <w:rFonts w:asciiTheme="majorBidi" w:hAnsiTheme="majorBidi" w:cstheme="majorBidi"/>
                <w:sz w:val="22"/>
                <w:szCs w:val="22"/>
              </w:rPr>
            </w:pPr>
          </w:p>
        </w:tc>
        <w:tc>
          <w:tcPr>
            <w:tcW w:w="628" w:type="dxa"/>
          </w:tcPr>
          <w:p w14:paraId="444D8CD2" w14:textId="40517CA6" w:rsidR="00C8197E" w:rsidRDefault="0032669C" w:rsidP="00C8197E">
            <w:pPr>
              <w:rPr>
                <w:rFonts w:asciiTheme="majorBidi" w:hAnsiTheme="majorBidi" w:cstheme="majorBidi"/>
                <w:sz w:val="22"/>
                <w:szCs w:val="22"/>
              </w:rPr>
            </w:pPr>
            <w:r>
              <w:rPr>
                <w:rFonts w:asciiTheme="majorBidi" w:hAnsiTheme="majorBidi" w:cstheme="majorBidi"/>
                <w:sz w:val="22"/>
                <w:szCs w:val="22"/>
              </w:rPr>
              <w:t>(d)</w:t>
            </w:r>
          </w:p>
        </w:tc>
        <w:tc>
          <w:tcPr>
            <w:tcW w:w="6619" w:type="dxa"/>
            <w:gridSpan w:val="3"/>
          </w:tcPr>
          <w:p w14:paraId="6E2021FD" w14:textId="5DD65358" w:rsidR="00C8197E" w:rsidRPr="00484243" w:rsidRDefault="0032669C" w:rsidP="002732A2">
            <w:pPr>
              <w:spacing w:line="360" w:lineRule="auto"/>
              <w:jc w:val="both"/>
              <w:rPr>
                <w:rFonts w:asciiTheme="majorBidi" w:hAnsiTheme="majorBidi" w:cstheme="majorBidi"/>
              </w:rPr>
            </w:pPr>
            <w:r w:rsidRPr="0032669C">
              <w:rPr>
                <w:rFonts w:asciiTheme="majorBidi" w:hAnsiTheme="majorBidi" w:cstheme="majorBidi"/>
              </w:rPr>
              <w:t xml:space="preserve">Following the consultation meeting referred to in subsection (a), the parties determined by the Authority to be eligible for sandbox participation shall register in accordance with </w:t>
            </w:r>
            <w:r>
              <w:rPr>
                <w:rFonts w:asciiTheme="majorBidi" w:hAnsiTheme="majorBidi" w:cstheme="majorBidi"/>
              </w:rPr>
              <w:t>section</w:t>
            </w:r>
            <w:r w:rsidRPr="0032669C">
              <w:rPr>
                <w:rFonts w:asciiTheme="majorBidi" w:hAnsiTheme="majorBidi" w:cstheme="majorBidi"/>
              </w:rPr>
              <w:t xml:space="preserve"> 3(c) of th</w:t>
            </w:r>
            <w:r>
              <w:rPr>
                <w:rFonts w:asciiTheme="majorBidi" w:hAnsiTheme="majorBidi" w:cstheme="majorBidi"/>
              </w:rPr>
              <w:t>is regulation</w:t>
            </w:r>
            <w:r w:rsidRPr="0032669C">
              <w:rPr>
                <w:rFonts w:asciiTheme="majorBidi" w:hAnsiTheme="majorBidi" w:cstheme="majorBidi"/>
              </w:rPr>
              <w:t>.</w:t>
            </w:r>
          </w:p>
        </w:tc>
      </w:tr>
      <w:tr w:rsidR="00C8197E" w14:paraId="7275C072" w14:textId="77777777" w:rsidTr="00D250C6">
        <w:trPr>
          <w:trHeight w:val="884"/>
        </w:trPr>
        <w:tc>
          <w:tcPr>
            <w:tcW w:w="2055" w:type="dxa"/>
          </w:tcPr>
          <w:p w14:paraId="56371F7F" w14:textId="05A12AB7" w:rsidR="00C8197E" w:rsidRDefault="0032669C" w:rsidP="00C8197E">
            <w:pPr>
              <w:rPr>
                <w:rFonts w:asciiTheme="majorBidi" w:hAnsiTheme="majorBidi" w:cstheme="majorBidi"/>
                <w:sz w:val="22"/>
                <w:szCs w:val="22"/>
              </w:rPr>
            </w:pPr>
            <w:r>
              <w:rPr>
                <w:rFonts w:asciiTheme="majorBidi" w:hAnsiTheme="majorBidi" w:cstheme="majorBidi"/>
                <w:sz w:val="22"/>
                <w:szCs w:val="22"/>
              </w:rPr>
              <w:lastRenderedPageBreak/>
              <w:t>Application to participate in the Sandbox</w:t>
            </w:r>
          </w:p>
        </w:tc>
        <w:tc>
          <w:tcPr>
            <w:tcW w:w="627" w:type="dxa"/>
          </w:tcPr>
          <w:p w14:paraId="1BC02966" w14:textId="2A9D292B" w:rsidR="00C8197E" w:rsidRDefault="0032669C" w:rsidP="00C8197E">
            <w:pPr>
              <w:rPr>
                <w:rFonts w:asciiTheme="majorBidi" w:hAnsiTheme="majorBidi" w:cstheme="majorBidi"/>
                <w:sz w:val="22"/>
                <w:szCs w:val="22"/>
              </w:rPr>
            </w:pPr>
            <w:r>
              <w:rPr>
                <w:rFonts w:asciiTheme="majorBidi" w:hAnsiTheme="majorBidi" w:cstheme="majorBidi"/>
                <w:sz w:val="22"/>
                <w:szCs w:val="22"/>
              </w:rPr>
              <w:t>6.</w:t>
            </w:r>
          </w:p>
        </w:tc>
        <w:tc>
          <w:tcPr>
            <w:tcW w:w="628" w:type="dxa"/>
          </w:tcPr>
          <w:p w14:paraId="3600F4DD" w14:textId="4C2723C1" w:rsidR="00C8197E" w:rsidRDefault="0032669C" w:rsidP="00C8197E">
            <w:pPr>
              <w:rPr>
                <w:rFonts w:asciiTheme="majorBidi" w:hAnsiTheme="majorBidi" w:cstheme="majorBidi"/>
                <w:sz w:val="22"/>
                <w:szCs w:val="22"/>
              </w:rPr>
            </w:pPr>
            <w:r>
              <w:rPr>
                <w:rFonts w:asciiTheme="majorBidi" w:hAnsiTheme="majorBidi" w:cstheme="majorBidi"/>
                <w:sz w:val="22"/>
                <w:szCs w:val="22"/>
              </w:rPr>
              <w:t>(a)</w:t>
            </w:r>
          </w:p>
        </w:tc>
        <w:tc>
          <w:tcPr>
            <w:tcW w:w="6619" w:type="dxa"/>
            <w:gridSpan w:val="3"/>
          </w:tcPr>
          <w:p w14:paraId="5DBE8EB6" w14:textId="1262E7C1" w:rsidR="00C8197E" w:rsidRPr="00484243" w:rsidRDefault="008F6EA0" w:rsidP="008F6EA0">
            <w:pPr>
              <w:spacing w:line="360" w:lineRule="auto"/>
              <w:jc w:val="both"/>
              <w:rPr>
                <w:rFonts w:asciiTheme="majorBidi" w:hAnsiTheme="majorBidi" w:cstheme="majorBidi"/>
              </w:rPr>
            </w:pPr>
            <w:r w:rsidRPr="008F6EA0">
              <w:rPr>
                <w:rFonts w:asciiTheme="majorBidi" w:hAnsiTheme="majorBidi" w:cstheme="majorBidi"/>
              </w:rPr>
              <w:t>Parties deemed eligible by the Authority and registered under Section 5(d) shall submit a formal application for participation in the sandbox in the manner prescribed by the Authority.</w:t>
            </w:r>
          </w:p>
        </w:tc>
      </w:tr>
      <w:tr w:rsidR="00C8197E" w14:paraId="46064BDF" w14:textId="77777777" w:rsidTr="00D250C6">
        <w:trPr>
          <w:trHeight w:val="884"/>
        </w:trPr>
        <w:tc>
          <w:tcPr>
            <w:tcW w:w="2055" w:type="dxa"/>
          </w:tcPr>
          <w:p w14:paraId="2A64B792" w14:textId="77777777" w:rsidR="00C8197E" w:rsidRDefault="00C8197E" w:rsidP="00C8197E">
            <w:pPr>
              <w:rPr>
                <w:rFonts w:asciiTheme="majorBidi" w:hAnsiTheme="majorBidi" w:cstheme="majorBidi"/>
                <w:sz w:val="22"/>
                <w:szCs w:val="22"/>
              </w:rPr>
            </w:pPr>
          </w:p>
        </w:tc>
        <w:tc>
          <w:tcPr>
            <w:tcW w:w="627" w:type="dxa"/>
          </w:tcPr>
          <w:p w14:paraId="74E33414" w14:textId="77777777" w:rsidR="00C8197E" w:rsidRDefault="00C8197E" w:rsidP="00C8197E">
            <w:pPr>
              <w:rPr>
                <w:rFonts w:asciiTheme="majorBidi" w:hAnsiTheme="majorBidi" w:cstheme="majorBidi"/>
                <w:sz w:val="22"/>
                <w:szCs w:val="22"/>
              </w:rPr>
            </w:pPr>
          </w:p>
        </w:tc>
        <w:tc>
          <w:tcPr>
            <w:tcW w:w="628" w:type="dxa"/>
          </w:tcPr>
          <w:p w14:paraId="4B51CD83" w14:textId="1AAF6EB2" w:rsidR="00C8197E" w:rsidRDefault="008F6EA0" w:rsidP="00C8197E">
            <w:pPr>
              <w:rPr>
                <w:rFonts w:asciiTheme="majorBidi" w:hAnsiTheme="majorBidi" w:cstheme="majorBidi"/>
                <w:sz w:val="22"/>
                <w:szCs w:val="22"/>
              </w:rPr>
            </w:pPr>
            <w:r>
              <w:rPr>
                <w:rFonts w:asciiTheme="majorBidi" w:hAnsiTheme="majorBidi" w:cstheme="majorBidi"/>
                <w:sz w:val="22"/>
                <w:szCs w:val="22"/>
              </w:rPr>
              <w:t>(b)</w:t>
            </w:r>
          </w:p>
        </w:tc>
        <w:tc>
          <w:tcPr>
            <w:tcW w:w="6619" w:type="dxa"/>
            <w:gridSpan w:val="3"/>
          </w:tcPr>
          <w:p w14:paraId="1C460A4F" w14:textId="658FED55" w:rsidR="00C8197E" w:rsidRPr="008F6EA0" w:rsidRDefault="008F6EA0" w:rsidP="008F6EA0">
            <w:pPr>
              <w:spacing w:line="360" w:lineRule="auto"/>
              <w:jc w:val="both"/>
              <w:rPr>
                <w:rFonts w:asciiTheme="majorBidi" w:hAnsiTheme="majorBidi" w:cstheme="majorBidi"/>
              </w:rPr>
            </w:pPr>
            <w:r w:rsidRPr="008F6EA0">
              <w:rPr>
                <w:rFonts w:asciiTheme="majorBidi" w:hAnsiTheme="majorBidi" w:cstheme="majorBidi"/>
              </w:rPr>
              <w:t>The following documents are required to be submitted by applicants for participation in the Sandbox.</w:t>
            </w:r>
          </w:p>
        </w:tc>
      </w:tr>
      <w:tr w:rsidR="008F6EA0" w14:paraId="53596521" w14:textId="77777777" w:rsidTr="00D250C6">
        <w:trPr>
          <w:trHeight w:val="884"/>
        </w:trPr>
        <w:tc>
          <w:tcPr>
            <w:tcW w:w="2055" w:type="dxa"/>
          </w:tcPr>
          <w:p w14:paraId="688BB4F5" w14:textId="77777777" w:rsidR="008F6EA0" w:rsidRDefault="008F6EA0" w:rsidP="00C8197E">
            <w:pPr>
              <w:rPr>
                <w:rFonts w:asciiTheme="majorBidi" w:hAnsiTheme="majorBidi" w:cstheme="majorBidi"/>
                <w:sz w:val="22"/>
                <w:szCs w:val="22"/>
              </w:rPr>
            </w:pPr>
          </w:p>
        </w:tc>
        <w:tc>
          <w:tcPr>
            <w:tcW w:w="627" w:type="dxa"/>
          </w:tcPr>
          <w:p w14:paraId="52AA12E3" w14:textId="77777777" w:rsidR="008F6EA0" w:rsidRDefault="008F6EA0" w:rsidP="00C8197E">
            <w:pPr>
              <w:rPr>
                <w:rFonts w:asciiTheme="majorBidi" w:hAnsiTheme="majorBidi" w:cstheme="majorBidi"/>
                <w:sz w:val="22"/>
                <w:szCs w:val="22"/>
              </w:rPr>
            </w:pPr>
          </w:p>
        </w:tc>
        <w:tc>
          <w:tcPr>
            <w:tcW w:w="628" w:type="dxa"/>
          </w:tcPr>
          <w:p w14:paraId="61A38047" w14:textId="77777777" w:rsidR="008F6EA0" w:rsidRDefault="008F6EA0" w:rsidP="00C8197E">
            <w:pPr>
              <w:rPr>
                <w:rFonts w:asciiTheme="majorBidi" w:hAnsiTheme="majorBidi" w:cstheme="majorBidi"/>
                <w:sz w:val="22"/>
                <w:szCs w:val="22"/>
              </w:rPr>
            </w:pPr>
          </w:p>
        </w:tc>
        <w:tc>
          <w:tcPr>
            <w:tcW w:w="616" w:type="dxa"/>
            <w:gridSpan w:val="2"/>
          </w:tcPr>
          <w:p w14:paraId="0DD05F7E" w14:textId="58592761" w:rsidR="008F6EA0" w:rsidRPr="00484243" w:rsidRDefault="008F6EA0" w:rsidP="00C8197E">
            <w:pPr>
              <w:rPr>
                <w:rFonts w:asciiTheme="majorBidi" w:hAnsiTheme="majorBidi" w:cstheme="majorBidi"/>
              </w:rPr>
            </w:pPr>
            <w:r>
              <w:rPr>
                <w:rFonts w:asciiTheme="majorBidi" w:hAnsiTheme="majorBidi" w:cstheme="majorBidi"/>
              </w:rPr>
              <w:t>(1)</w:t>
            </w:r>
          </w:p>
        </w:tc>
        <w:tc>
          <w:tcPr>
            <w:tcW w:w="6003" w:type="dxa"/>
          </w:tcPr>
          <w:p w14:paraId="587D209F" w14:textId="134E6D27" w:rsidR="008F6EA0" w:rsidRPr="00484243" w:rsidRDefault="003260D4" w:rsidP="0039350F">
            <w:pPr>
              <w:spacing w:line="360" w:lineRule="auto"/>
              <w:jc w:val="both"/>
              <w:rPr>
                <w:rFonts w:asciiTheme="majorBidi" w:hAnsiTheme="majorBidi" w:cstheme="majorBidi"/>
              </w:rPr>
            </w:pPr>
            <w:r w:rsidRPr="003260D4">
              <w:rPr>
                <w:rFonts w:asciiTheme="majorBidi" w:hAnsiTheme="majorBidi" w:cstheme="majorBidi"/>
              </w:rPr>
              <w:t>Description of the product or service offered</w:t>
            </w:r>
            <w:r>
              <w:rPr>
                <w:rFonts w:asciiTheme="majorBidi" w:hAnsiTheme="majorBidi" w:cstheme="majorBidi"/>
              </w:rPr>
              <w:t xml:space="preserve"> (Business Model);</w:t>
            </w:r>
          </w:p>
        </w:tc>
      </w:tr>
      <w:tr w:rsidR="003260D4" w14:paraId="7F6D5F71" w14:textId="77777777" w:rsidTr="00D250C6">
        <w:trPr>
          <w:trHeight w:val="884"/>
        </w:trPr>
        <w:tc>
          <w:tcPr>
            <w:tcW w:w="2055" w:type="dxa"/>
          </w:tcPr>
          <w:p w14:paraId="2D21FDBD" w14:textId="77777777" w:rsidR="003260D4" w:rsidRDefault="003260D4" w:rsidP="00C8197E">
            <w:pPr>
              <w:rPr>
                <w:rFonts w:asciiTheme="majorBidi" w:hAnsiTheme="majorBidi" w:cstheme="majorBidi"/>
                <w:sz w:val="22"/>
                <w:szCs w:val="22"/>
              </w:rPr>
            </w:pPr>
          </w:p>
        </w:tc>
        <w:tc>
          <w:tcPr>
            <w:tcW w:w="627" w:type="dxa"/>
          </w:tcPr>
          <w:p w14:paraId="0C1005EB" w14:textId="77777777" w:rsidR="003260D4" w:rsidRDefault="003260D4" w:rsidP="00C8197E">
            <w:pPr>
              <w:rPr>
                <w:rFonts w:asciiTheme="majorBidi" w:hAnsiTheme="majorBidi" w:cstheme="majorBidi"/>
                <w:sz w:val="22"/>
                <w:szCs w:val="22"/>
              </w:rPr>
            </w:pPr>
          </w:p>
        </w:tc>
        <w:tc>
          <w:tcPr>
            <w:tcW w:w="628" w:type="dxa"/>
          </w:tcPr>
          <w:p w14:paraId="5DBFBC12" w14:textId="77777777" w:rsidR="003260D4" w:rsidRDefault="003260D4" w:rsidP="00C8197E">
            <w:pPr>
              <w:rPr>
                <w:rFonts w:asciiTheme="majorBidi" w:hAnsiTheme="majorBidi" w:cstheme="majorBidi"/>
                <w:sz w:val="22"/>
                <w:szCs w:val="22"/>
              </w:rPr>
            </w:pPr>
          </w:p>
        </w:tc>
        <w:tc>
          <w:tcPr>
            <w:tcW w:w="616" w:type="dxa"/>
            <w:gridSpan w:val="2"/>
          </w:tcPr>
          <w:p w14:paraId="1F9EE51E" w14:textId="62229261" w:rsidR="003260D4" w:rsidRDefault="003260D4" w:rsidP="00C8197E">
            <w:pPr>
              <w:rPr>
                <w:rFonts w:asciiTheme="majorBidi" w:hAnsiTheme="majorBidi" w:cstheme="majorBidi"/>
              </w:rPr>
            </w:pPr>
            <w:r>
              <w:rPr>
                <w:rFonts w:asciiTheme="majorBidi" w:hAnsiTheme="majorBidi" w:cstheme="majorBidi"/>
              </w:rPr>
              <w:t>(2)</w:t>
            </w:r>
          </w:p>
        </w:tc>
        <w:tc>
          <w:tcPr>
            <w:tcW w:w="6003" w:type="dxa"/>
          </w:tcPr>
          <w:p w14:paraId="2DC87CED" w14:textId="4576BE6F" w:rsidR="003260D4" w:rsidRPr="00484243" w:rsidRDefault="003260D4" w:rsidP="0039350F">
            <w:pPr>
              <w:spacing w:line="360" w:lineRule="auto"/>
              <w:jc w:val="both"/>
              <w:rPr>
                <w:rFonts w:asciiTheme="majorBidi" w:hAnsiTheme="majorBidi" w:cstheme="majorBidi"/>
              </w:rPr>
            </w:pPr>
            <w:r w:rsidRPr="003260D4">
              <w:rPr>
                <w:rFonts w:asciiTheme="majorBidi" w:hAnsiTheme="majorBidi" w:cstheme="majorBidi"/>
              </w:rPr>
              <w:t xml:space="preserve">Details </w:t>
            </w:r>
            <w:r>
              <w:rPr>
                <w:rFonts w:asciiTheme="majorBidi" w:hAnsiTheme="majorBidi" w:cstheme="majorBidi"/>
              </w:rPr>
              <w:t>of</w:t>
            </w:r>
            <w:r w:rsidRPr="003260D4">
              <w:rPr>
                <w:rFonts w:asciiTheme="majorBidi" w:hAnsiTheme="majorBidi" w:cstheme="majorBidi"/>
              </w:rPr>
              <w:t xml:space="preserve"> how the proposed product or service meets the Sandbox entry requirements;</w:t>
            </w:r>
          </w:p>
        </w:tc>
      </w:tr>
      <w:tr w:rsidR="003260D4" w14:paraId="54624223" w14:textId="77777777" w:rsidTr="00D250C6">
        <w:trPr>
          <w:trHeight w:val="884"/>
        </w:trPr>
        <w:tc>
          <w:tcPr>
            <w:tcW w:w="2055" w:type="dxa"/>
          </w:tcPr>
          <w:p w14:paraId="6C25639A" w14:textId="77777777" w:rsidR="003260D4" w:rsidRDefault="003260D4" w:rsidP="00C8197E">
            <w:pPr>
              <w:rPr>
                <w:rFonts w:asciiTheme="majorBidi" w:hAnsiTheme="majorBidi" w:cstheme="majorBidi"/>
                <w:sz w:val="22"/>
                <w:szCs w:val="22"/>
              </w:rPr>
            </w:pPr>
          </w:p>
        </w:tc>
        <w:tc>
          <w:tcPr>
            <w:tcW w:w="627" w:type="dxa"/>
          </w:tcPr>
          <w:p w14:paraId="716AF87D" w14:textId="77777777" w:rsidR="003260D4" w:rsidRDefault="003260D4" w:rsidP="00C8197E">
            <w:pPr>
              <w:rPr>
                <w:rFonts w:asciiTheme="majorBidi" w:hAnsiTheme="majorBidi" w:cstheme="majorBidi"/>
                <w:sz w:val="22"/>
                <w:szCs w:val="22"/>
              </w:rPr>
            </w:pPr>
          </w:p>
        </w:tc>
        <w:tc>
          <w:tcPr>
            <w:tcW w:w="628" w:type="dxa"/>
          </w:tcPr>
          <w:p w14:paraId="2FCBC2D4" w14:textId="77777777" w:rsidR="003260D4" w:rsidRDefault="003260D4" w:rsidP="00C8197E">
            <w:pPr>
              <w:rPr>
                <w:rFonts w:asciiTheme="majorBidi" w:hAnsiTheme="majorBidi" w:cstheme="majorBidi"/>
                <w:sz w:val="22"/>
                <w:szCs w:val="22"/>
              </w:rPr>
            </w:pPr>
          </w:p>
        </w:tc>
        <w:tc>
          <w:tcPr>
            <w:tcW w:w="616" w:type="dxa"/>
            <w:gridSpan w:val="2"/>
          </w:tcPr>
          <w:p w14:paraId="36FE1CC0" w14:textId="64F8D620" w:rsidR="003260D4" w:rsidRDefault="003260D4" w:rsidP="00C8197E">
            <w:pPr>
              <w:rPr>
                <w:rFonts w:asciiTheme="majorBidi" w:hAnsiTheme="majorBidi" w:cstheme="majorBidi"/>
              </w:rPr>
            </w:pPr>
            <w:r>
              <w:rPr>
                <w:rFonts w:asciiTheme="majorBidi" w:hAnsiTheme="majorBidi" w:cstheme="majorBidi"/>
              </w:rPr>
              <w:t>(3)</w:t>
            </w:r>
          </w:p>
        </w:tc>
        <w:tc>
          <w:tcPr>
            <w:tcW w:w="6003" w:type="dxa"/>
          </w:tcPr>
          <w:p w14:paraId="4DA1D481" w14:textId="4E63F356" w:rsidR="003260D4" w:rsidRPr="00484243" w:rsidRDefault="003260D4" w:rsidP="0039350F">
            <w:pPr>
              <w:spacing w:line="360" w:lineRule="auto"/>
              <w:jc w:val="both"/>
              <w:rPr>
                <w:rFonts w:asciiTheme="majorBidi" w:hAnsiTheme="majorBidi" w:cstheme="majorBidi"/>
              </w:rPr>
            </w:pPr>
            <w:r>
              <w:rPr>
                <w:rFonts w:asciiTheme="majorBidi" w:hAnsiTheme="majorBidi" w:cstheme="majorBidi"/>
              </w:rPr>
              <w:t>Business plan and feasibility study (</w:t>
            </w:r>
            <w:r w:rsidRPr="003260D4">
              <w:rPr>
                <w:rFonts w:asciiTheme="majorBidi" w:hAnsiTheme="majorBidi" w:cstheme="majorBidi"/>
              </w:rPr>
              <w:t>business structure, operating model, target market, and implementation plan</w:t>
            </w:r>
            <w:r>
              <w:rPr>
                <w:rFonts w:asciiTheme="majorBidi" w:hAnsiTheme="majorBidi" w:cstheme="majorBidi"/>
              </w:rPr>
              <w:t>);</w:t>
            </w:r>
          </w:p>
        </w:tc>
      </w:tr>
      <w:tr w:rsidR="003260D4" w14:paraId="394EFE18" w14:textId="77777777" w:rsidTr="00D250C6">
        <w:trPr>
          <w:trHeight w:val="884"/>
        </w:trPr>
        <w:tc>
          <w:tcPr>
            <w:tcW w:w="2055" w:type="dxa"/>
          </w:tcPr>
          <w:p w14:paraId="03DACC78" w14:textId="77777777" w:rsidR="003260D4" w:rsidRDefault="003260D4" w:rsidP="00C8197E">
            <w:pPr>
              <w:rPr>
                <w:rFonts w:asciiTheme="majorBidi" w:hAnsiTheme="majorBidi" w:cstheme="majorBidi"/>
                <w:sz w:val="22"/>
                <w:szCs w:val="22"/>
              </w:rPr>
            </w:pPr>
          </w:p>
        </w:tc>
        <w:tc>
          <w:tcPr>
            <w:tcW w:w="627" w:type="dxa"/>
          </w:tcPr>
          <w:p w14:paraId="7BE2DB7A" w14:textId="77777777" w:rsidR="003260D4" w:rsidRDefault="003260D4" w:rsidP="00C8197E">
            <w:pPr>
              <w:rPr>
                <w:rFonts w:asciiTheme="majorBidi" w:hAnsiTheme="majorBidi" w:cstheme="majorBidi"/>
                <w:sz w:val="22"/>
                <w:szCs w:val="22"/>
              </w:rPr>
            </w:pPr>
          </w:p>
        </w:tc>
        <w:tc>
          <w:tcPr>
            <w:tcW w:w="628" w:type="dxa"/>
          </w:tcPr>
          <w:p w14:paraId="490AC6E3" w14:textId="77777777" w:rsidR="003260D4" w:rsidRDefault="003260D4" w:rsidP="00C8197E">
            <w:pPr>
              <w:rPr>
                <w:rFonts w:asciiTheme="majorBidi" w:hAnsiTheme="majorBidi" w:cstheme="majorBidi"/>
                <w:sz w:val="22"/>
                <w:szCs w:val="22"/>
              </w:rPr>
            </w:pPr>
          </w:p>
        </w:tc>
        <w:tc>
          <w:tcPr>
            <w:tcW w:w="616" w:type="dxa"/>
            <w:gridSpan w:val="2"/>
          </w:tcPr>
          <w:p w14:paraId="3D7CDE23" w14:textId="74B28724" w:rsidR="003260D4" w:rsidRDefault="00E842A2" w:rsidP="00C8197E">
            <w:pPr>
              <w:rPr>
                <w:rFonts w:asciiTheme="majorBidi" w:hAnsiTheme="majorBidi" w:cstheme="majorBidi"/>
              </w:rPr>
            </w:pPr>
            <w:r>
              <w:rPr>
                <w:rFonts w:asciiTheme="majorBidi" w:hAnsiTheme="majorBidi" w:cstheme="majorBidi"/>
              </w:rPr>
              <w:t>(4)</w:t>
            </w:r>
          </w:p>
        </w:tc>
        <w:tc>
          <w:tcPr>
            <w:tcW w:w="6003" w:type="dxa"/>
          </w:tcPr>
          <w:p w14:paraId="7A62BF3A" w14:textId="596371DE" w:rsidR="003260D4" w:rsidRPr="00484243" w:rsidRDefault="00E842A2" w:rsidP="0039350F">
            <w:pPr>
              <w:spacing w:line="360" w:lineRule="auto"/>
              <w:jc w:val="both"/>
              <w:rPr>
                <w:rFonts w:asciiTheme="majorBidi" w:hAnsiTheme="majorBidi" w:cstheme="majorBidi"/>
              </w:rPr>
            </w:pPr>
            <w:r w:rsidRPr="00E842A2">
              <w:rPr>
                <w:rFonts w:asciiTheme="majorBidi" w:hAnsiTheme="majorBidi" w:cstheme="majorBidi"/>
              </w:rPr>
              <w:t>Testing plan (test duration, key performance indicators, users, Sandbox tools needed, and outcomes to be achieved)</w:t>
            </w:r>
            <w:r w:rsidR="00774E43">
              <w:rPr>
                <w:rFonts w:asciiTheme="majorBidi" w:hAnsiTheme="majorBidi" w:cstheme="majorBidi"/>
              </w:rPr>
              <w:t>;</w:t>
            </w:r>
          </w:p>
        </w:tc>
      </w:tr>
      <w:tr w:rsidR="003260D4" w14:paraId="4DCAF845" w14:textId="77777777" w:rsidTr="00D250C6">
        <w:trPr>
          <w:trHeight w:val="884"/>
        </w:trPr>
        <w:tc>
          <w:tcPr>
            <w:tcW w:w="2055" w:type="dxa"/>
          </w:tcPr>
          <w:p w14:paraId="2676B975" w14:textId="77777777" w:rsidR="003260D4" w:rsidRDefault="003260D4" w:rsidP="00C8197E">
            <w:pPr>
              <w:rPr>
                <w:rFonts w:asciiTheme="majorBidi" w:hAnsiTheme="majorBidi" w:cstheme="majorBidi"/>
                <w:sz w:val="22"/>
                <w:szCs w:val="22"/>
              </w:rPr>
            </w:pPr>
          </w:p>
        </w:tc>
        <w:tc>
          <w:tcPr>
            <w:tcW w:w="627" w:type="dxa"/>
          </w:tcPr>
          <w:p w14:paraId="33B59612" w14:textId="77777777" w:rsidR="003260D4" w:rsidRDefault="003260D4" w:rsidP="00C8197E">
            <w:pPr>
              <w:rPr>
                <w:rFonts w:asciiTheme="majorBidi" w:hAnsiTheme="majorBidi" w:cstheme="majorBidi"/>
                <w:sz w:val="22"/>
                <w:szCs w:val="22"/>
              </w:rPr>
            </w:pPr>
          </w:p>
        </w:tc>
        <w:tc>
          <w:tcPr>
            <w:tcW w:w="628" w:type="dxa"/>
          </w:tcPr>
          <w:p w14:paraId="584AFED7" w14:textId="77777777" w:rsidR="003260D4" w:rsidRDefault="003260D4" w:rsidP="00C8197E">
            <w:pPr>
              <w:rPr>
                <w:rFonts w:asciiTheme="majorBidi" w:hAnsiTheme="majorBidi" w:cstheme="majorBidi"/>
                <w:sz w:val="22"/>
                <w:szCs w:val="22"/>
              </w:rPr>
            </w:pPr>
          </w:p>
        </w:tc>
        <w:tc>
          <w:tcPr>
            <w:tcW w:w="616" w:type="dxa"/>
            <w:gridSpan w:val="2"/>
          </w:tcPr>
          <w:p w14:paraId="501F50D3" w14:textId="0758D686" w:rsidR="003260D4" w:rsidRDefault="00E842A2" w:rsidP="00C8197E">
            <w:pPr>
              <w:rPr>
                <w:rFonts w:asciiTheme="majorBidi" w:hAnsiTheme="majorBidi" w:cstheme="majorBidi"/>
              </w:rPr>
            </w:pPr>
            <w:r>
              <w:rPr>
                <w:rFonts w:asciiTheme="majorBidi" w:hAnsiTheme="majorBidi" w:cstheme="majorBidi"/>
              </w:rPr>
              <w:t>(5)</w:t>
            </w:r>
          </w:p>
        </w:tc>
        <w:tc>
          <w:tcPr>
            <w:tcW w:w="6003" w:type="dxa"/>
          </w:tcPr>
          <w:p w14:paraId="5C6C9CDF" w14:textId="42225CA6" w:rsidR="003260D4" w:rsidRPr="00484243" w:rsidRDefault="00E842A2" w:rsidP="0039350F">
            <w:pPr>
              <w:spacing w:line="360" w:lineRule="auto"/>
              <w:jc w:val="both"/>
              <w:rPr>
                <w:rFonts w:asciiTheme="majorBidi" w:hAnsiTheme="majorBidi" w:cstheme="majorBidi"/>
              </w:rPr>
            </w:pPr>
            <w:r w:rsidRPr="00E842A2">
              <w:rPr>
                <w:rFonts w:asciiTheme="majorBidi" w:hAnsiTheme="majorBidi" w:cstheme="majorBidi"/>
              </w:rPr>
              <w:t>The securities market sector to which the product or service submitted to the Sandbox pertains, along with any applicable regulations</w:t>
            </w:r>
            <w:r>
              <w:rPr>
                <w:rFonts w:asciiTheme="majorBidi" w:hAnsiTheme="majorBidi" w:cstheme="majorBidi"/>
              </w:rPr>
              <w:t>;</w:t>
            </w:r>
          </w:p>
        </w:tc>
      </w:tr>
      <w:tr w:rsidR="003260D4" w14:paraId="1A9DFCD4" w14:textId="77777777" w:rsidTr="00D250C6">
        <w:trPr>
          <w:trHeight w:val="884"/>
        </w:trPr>
        <w:tc>
          <w:tcPr>
            <w:tcW w:w="2055" w:type="dxa"/>
          </w:tcPr>
          <w:p w14:paraId="7EA3400F" w14:textId="77777777" w:rsidR="003260D4" w:rsidRDefault="003260D4" w:rsidP="00C8197E">
            <w:pPr>
              <w:rPr>
                <w:rFonts w:asciiTheme="majorBidi" w:hAnsiTheme="majorBidi" w:cstheme="majorBidi"/>
                <w:sz w:val="22"/>
                <w:szCs w:val="22"/>
              </w:rPr>
            </w:pPr>
          </w:p>
        </w:tc>
        <w:tc>
          <w:tcPr>
            <w:tcW w:w="627" w:type="dxa"/>
          </w:tcPr>
          <w:p w14:paraId="57DD8D36" w14:textId="77777777" w:rsidR="003260D4" w:rsidRDefault="003260D4" w:rsidP="00C8197E">
            <w:pPr>
              <w:rPr>
                <w:rFonts w:asciiTheme="majorBidi" w:hAnsiTheme="majorBidi" w:cstheme="majorBidi"/>
                <w:sz w:val="22"/>
                <w:szCs w:val="22"/>
              </w:rPr>
            </w:pPr>
          </w:p>
        </w:tc>
        <w:tc>
          <w:tcPr>
            <w:tcW w:w="628" w:type="dxa"/>
          </w:tcPr>
          <w:p w14:paraId="697F43EE" w14:textId="77777777" w:rsidR="003260D4" w:rsidRDefault="003260D4" w:rsidP="00C8197E">
            <w:pPr>
              <w:rPr>
                <w:rFonts w:asciiTheme="majorBidi" w:hAnsiTheme="majorBidi" w:cstheme="majorBidi"/>
                <w:sz w:val="22"/>
                <w:szCs w:val="22"/>
              </w:rPr>
            </w:pPr>
          </w:p>
        </w:tc>
        <w:tc>
          <w:tcPr>
            <w:tcW w:w="616" w:type="dxa"/>
            <w:gridSpan w:val="2"/>
          </w:tcPr>
          <w:p w14:paraId="525DF034" w14:textId="07374081" w:rsidR="003260D4" w:rsidRDefault="00E842A2" w:rsidP="00C8197E">
            <w:pPr>
              <w:rPr>
                <w:rFonts w:asciiTheme="majorBidi" w:hAnsiTheme="majorBidi" w:cstheme="majorBidi"/>
              </w:rPr>
            </w:pPr>
            <w:r>
              <w:rPr>
                <w:rFonts w:asciiTheme="majorBidi" w:hAnsiTheme="majorBidi" w:cstheme="majorBidi"/>
              </w:rPr>
              <w:t>(6)</w:t>
            </w:r>
          </w:p>
        </w:tc>
        <w:tc>
          <w:tcPr>
            <w:tcW w:w="6003" w:type="dxa"/>
          </w:tcPr>
          <w:p w14:paraId="78D4E68F" w14:textId="3B4925C5" w:rsidR="003260D4" w:rsidRPr="00484243" w:rsidRDefault="00E842A2" w:rsidP="0039350F">
            <w:pPr>
              <w:spacing w:line="360" w:lineRule="auto"/>
              <w:jc w:val="both"/>
              <w:rPr>
                <w:rFonts w:asciiTheme="majorBidi" w:hAnsiTheme="majorBidi" w:cstheme="majorBidi"/>
              </w:rPr>
            </w:pPr>
            <w:r w:rsidRPr="00E842A2">
              <w:rPr>
                <w:rFonts w:asciiTheme="majorBidi" w:hAnsiTheme="majorBidi" w:cstheme="majorBidi"/>
              </w:rPr>
              <w:t>Regulatory assessment (identifying legal or regulatory provisions that may impede deployment, as well as desirable exemptions and relief)</w:t>
            </w:r>
            <w:r>
              <w:rPr>
                <w:rFonts w:asciiTheme="majorBidi" w:hAnsiTheme="majorBidi" w:cstheme="majorBidi"/>
              </w:rPr>
              <w:t>;</w:t>
            </w:r>
          </w:p>
        </w:tc>
      </w:tr>
      <w:tr w:rsidR="003260D4" w14:paraId="0912C8BA" w14:textId="77777777" w:rsidTr="00D250C6">
        <w:trPr>
          <w:trHeight w:val="884"/>
        </w:trPr>
        <w:tc>
          <w:tcPr>
            <w:tcW w:w="2055" w:type="dxa"/>
          </w:tcPr>
          <w:p w14:paraId="614F47E2" w14:textId="77777777" w:rsidR="003260D4" w:rsidRDefault="003260D4" w:rsidP="00C8197E">
            <w:pPr>
              <w:rPr>
                <w:rFonts w:asciiTheme="majorBidi" w:hAnsiTheme="majorBidi" w:cstheme="majorBidi"/>
                <w:sz w:val="22"/>
                <w:szCs w:val="22"/>
              </w:rPr>
            </w:pPr>
          </w:p>
        </w:tc>
        <w:tc>
          <w:tcPr>
            <w:tcW w:w="627" w:type="dxa"/>
          </w:tcPr>
          <w:p w14:paraId="3985A688" w14:textId="77777777" w:rsidR="003260D4" w:rsidRDefault="003260D4" w:rsidP="00C8197E">
            <w:pPr>
              <w:rPr>
                <w:rFonts w:asciiTheme="majorBidi" w:hAnsiTheme="majorBidi" w:cstheme="majorBidi"/>
                <w:sz w:val="22"/>
                <w:szCs w:val="22"/>
              </w:rPr>
            </w:pPr>
          </w:p>
        </w:tc>
        <w:tc>
          <w:tcPr>
            <w:tcW w:w="628" w:type="dxa"/>
          </w:tcPr>
          <w:p w14:paraId="57528BCB" w14:textId="77777777" w:rsidR="003260D4" w:rsidRDefault="003260D4" w:rsidP="00C8197E">
            <w:pPr>
              <w:rPr>
                <w:rFonts w:asciiTheme="majorBidi" w:hAnsiTheme="majorBidi" w:cstheme="majorBidi"/>
                <w:sz w:val="22"/>
                <w:szCs w:val="22"/>
              </w:rPr>
            </w:pPr>
          </w:p>
        </w:tc>
        <w:tc>
          <w:tcPr>
            <w:tcW w:w="616" w:type="dxa"/>
            <w:gridSpan w:val="2"/>
          </w:tcPr>
          <w:p w14:paraId="14C9C32A" w14:textId="0CB73828" w:rsidR="003260D4" w:rsidRDefault="00E842A2" w:rsidP="00C8197E">
            <w:pPr>
              <w:rPr>
                <w:rFonts w:asciiTheme="majorBidi" w:hAnsiTheme="majorBidi" w:cstheme="majorBidi"/>
              </w:rPr>
            </w:pPr>
            <w:r>
              <w:rPr>
                <w:rFonts w:asciiTheme="majorBidi" w:hAnsiTheme="majorBidi" w:cstheme="majorBidi"/>
              </w:rPr>
              <w:t>(7)</w:t>
            </w:r>
          </w:p>
        </w:tc>
        <w:tc>
          <w:tcPr>
            <w:tcW w:w="6003" w:type="dxa"/>
          </w:tcPr>
          <w:p w14:paraId="1B50E2A0" w14:textId="003ACBC4" w:rsidR="003260D4" w:rsidRPr="00484243" w:rsidRDefault="00E842A2" w:rsidP="0039350F">
            <w:pPr>
              <w:spacing w:line="360" w:lineRule="auto"/>
              <w:jc w:val="both"/>
              <w:rPr>
                <w:rFonts w:asciiTheme="majorBidi" w:hAnsiTheme="majorBidi" w:cstheme="majorBidi"/>
              </w:rPr>
            </w:pPr>
            <w:r w:rsidRPr="00E842A2">
              <w:rPr>
                <w:rFonts w:asciiTheme="majorBidi" w:hAnsiTheme="majorBidi" w:cstheme="majorBidi"/>
              </w:rPr>
              <w:t>Measures to manage risks and protect investors (including mitigation of operational, cybersecurity, data, and liquidity-related risks)</w:t>
            </w:r>
            <w:r>
              <w:rPr>
                <w:rFonts w:asciiTheme="majorBidi" w:hAnsiTheme="majorBidi" w:cstheme="majorBidi"/>
              </w:rPr>
              <w:t>;</w:t>
            </w:r>
          </w:p>
        </w:tc>
      </w:tr>
      <w:tr w:rsidR="003260D4" w14:paraId="720EE899" w14:textId="77777777" w:rsidTr="00D250C6">
        <w:trPr>
          <w:trHeight w:val="884"/>
        </w:trPr>
        <w:tc>
          <w:tcPr>
            <w:tcW w:w="2055" w:type="dxa"/>
          </w:tcPr>
          <w:p w14:paraId="30AB4EAE" w14:textId="77777777" w:rsidR="003260D4" w:rsidRDefault="003260D4" w:rsidP="00C8197E">
            <w:pPr>
              <w:rPr>
                <w:rFonts w:asciiTheme="majorBidi" w:hAnsiTheme="majorBidi" w:cstheme="majorBidi"/>
                <w:sz w:val="22"/>
                <w:szCs w:val="22"/>
              </w:rPr>
            </w:pPr>
          </w:p>
        </w:tc>
        <w:tc>
          <w:tcPr>
            <w:tcW w:w="627" w:type="dxa"/>
          </w:tcPr>
          <w:p w14:paraId="36F62B26" w14:textId="77777777" w:rsidR="003260D4" w:rsidRDefault="003260D4" w:rsidP="00C8197E">
            <w:pPr>
              <w:rPr>
                <w:rFonts w:asciiTheme="majorBidi" w:hAnsiTheme="majorBidi" w:cstheme="majorBidi"/>
                <w:sz w:val="22"/>
                <w:szCs w:val="22"/>
              </w:rPr>
            </w:pPr>
          </w:p>
        </w:tc>
        <w:tc>
          <w:tcPr>
            <w:tcW w:w="628" w:type="dxa"/>
          </w:tcPr>
          <w:p w14:paraId="1CE224A7" w14:textId="77777777" w:rsidR="003260D4" w:rsidRDefault="003260D4" w:rsidP="00C8197E">
            <w:pPr>
              <w:rPr>
                <w:rFonts w:asciiTheme="majorBidi" w:hAnsiTheme="majorBidi" w:cstheme="majorBidi"/>
                <w:sz w:val="22"/>
                <w:szCs w:val="22"/>
              </w:rPr>
            </w:pPr>
          </w:p>
        </w:tc>
        <w:tc>
          <w:tcPr>
            <w:tcW w:w="616" w:type="dxa"/>
            <w:gridSpan w:val="2"/>
          </w:tcPr>
          <w:p w14:paraId="2AA4D7F6" w14:textId="220AAF53" w:rsidR="003260D4" w:rsidRDefault="00E842A2" w:rsidP="00C8197E">
            <w:pPr>
              <w:rPr>
                <w:rFonts w:asciiTheme="majorBidi" w:hAnsiTheme="majorBidi" w:cstheme="majorBidi"/>
              </w:rPr>
            </w:pPr>
            <w:r>
              <w:rPr>
                <w:rFonts w:asciiTheme="majorBidi" w:hAnsiTheme="majorBidi" w:cstheme="majorBidi"/>
              </w:rPr>
              <w:t>(8)</w:t>
            </w:r>
          </w:p>
        </w:tc>
        <w:tc>
          <w:tcPr>
            <w:tcW w:w="6003" w:type="dxa"/>
          </w:tcPr>
          <w:p w14:paraId="10FDC22D" w14:textId="1CEB9C3B" w:rsidR="003260D4" w:rsidRPr="00484243" w:rsidRDefault="00E842A2" w:rsidP="0039350F">
            <w:pPr>
              <w:spacing w:line="360" w:lineRule="auto"/>
              <w:jc w:val="both"/>
              <w:rPr>
                <w:rFonts w:asciiTheme="majorBidi" w:hAnsiTheme="majorBidi" w:cstheme="majorBidi"/>
              </w:rPr>
            </w:pPr>
            <w:r w:rsidRPr="00E842A2">
              <w:rPr>
                <w:rFonts w:asciiTheme="majorBidi" w:hAnsiTheme="majorBidi" w:cstheme="majorBidi"/>
              </w:rPr>
              <w:t>Details of the applicant (promoters, directors, significant shareholders</w:t>
            </w:r>
            <w:r>
              <w:rPr>
                <w:rFonts w:asciiTheme="majorBidi" w:hAnsiTheme="majorBidi" w:cstheme="majorBidi"/>
              </w:rPr>
              <w:t>,</w:t>
            </w:r>
            <w:r w:rsidRPr="00E842A2">
              <w:rPr>
                <w:rFonts w:asciiTheme="majorBidi" w:hAnsiTheme="majorBidi" w:cstheme="majorBidi"/>
              </w:rPr>
              <w:t xml:space="preserve"> and their ultimate beneficial owners, registration information, and statements of financial capacity and capital)</w:t>
            </w:r>
            <w:r>
              <w:rPr>
                <w:rFonts w:asciiTheme="majorBidi" w:hAnsiTheme="majorBidi" w:cstheme="majorBidi"/>
              </w:rPr>
              <w:t>;</w:t>
            </w:r>
          </w:p>
        </w:tc>
      </w:tr>
      <w:tr w:rsidR="003260D4" w14:paraId="4E36C43B" w14:textId="77777777" w:rsidTr="00D250C6">
        <w:trPr>
          <w:trHeight w:val="884"/>
        </w:trPr>
        <w:tc>
          <w:tcPr>
            <w:tcW w:w="2055" w:type="dxa"/>
          </w:tcPr>
          <w:p w14:paraId="40FE34E3" w14:textId="77777777" w:rsidR="003260D4" w:rsidRDefault="003260D4" w:rsidP="00C8197E">
            <w:pPr>
              <w:rPr>
                <w:rFonts w:asciiTheme="majorBidi" w:hAnsiTheme="majorBidi" w:cstheme="majorBidi"/>
                <w:sz w:val="22"/>
                <w:szCs w:val="22"/>
              </w:rPr>
            </w:pPr>
          </w:p>
        </w:tc>
        <w:tc>
          <w:tcPr>
            <w:tcW w:w="627" w:type="dxa"/>
          </w:tcPr>
          <w:p w14:paraId="733FB351" w14:textId="77777777" w:rsidR="003260D4" w:rsidRDefault="003260D4" w:rsidP="00C8197E">
            <w:pPr>
              <w:rPr>
                <w:rFonts w:asciiTheme="majorBidi" w:hAnsiTheme="majorBidi" w:cstheme="majorBidi"/>
                <w:sz w:val="22"/>
                <w:szCs w:val="22"/>
              </w:rPr>
            </w:pPr>
          </w:p>
        </w:tc>
        <w:tc>
          <w:tcPr>
            <w:tcW w:w="628" w:type="dxa"/>
          </w:tcPr>
          <w:p w14:paraId="6DCF15DF" w14:textId="77777777" w:rsidR="003260D4" w:rsidRDefault="003260D4" w:rsidP="00C8197E">
            <w:pPr>
              <w:rPr>
                <w:rFonts w:asciiTheme="majorBidi" w:hAnsiTheme="majorBidi" w:cstheme="majorBidi"/>
                <w:sz w:val="22"/>
                <w:szCs w:val="22"/>
              </w:rPr>
            </w:pPr>
          </w:p>
        </w:tc>
        <w:tc>
          <w:tcPr>
            <w:tcW w:w="616" w:type="dxa"/>
            <w:gridSpan w:val="2"/>
          </w:tcPr>
          <w:p w14:paraId="3C86F822" w14:textId="146E73E0" w:rsidR="003260D4" w:rsidRDefault="00E842A2" w:rsidP="00C8197E">
            <w:pPr>
              <w:rPr>
                <w:rFonts w:asciiTheme="majorBidi" w:hAnsiTheme="majorBidi" w:cstheme="majorBidi"/>
              </w:rPr>
            </w:pPr>
            <w:r>
              <w:rPr>
                <w:rFonts w:asciiTheme="majorBidi" w:hAnsiTheme="majorBidi" w:cstheme="majorBidi"/>
              </w:rPr>
              <w:t>(9)</w:t>
            </w:r>
          </w:p>
        </w:tc>
        <w:tc>
          <w:tcPr>
            <w:tcW w:w="6003" w:type="dxa"/>
          </w:tcPr>
          <w:p w14:paraId="20EA0E64" w14:textId="3AC29FDD" w:rsidR="003260D4" w:rsidRPr="00484243" w:rsidRDefault="00E842A2" w:rsidP="0039350F">
            <w:pPr>
              <w:spacing w:line="360" w:lineRule="auto"/>
              <w:jc w:val="both"/>
              <w:rPr>
                <w:rFonts w:asciiTheme="majorBidi" w:hAnsiTheme="majorBidi" w:cstheme="majorBidi"/>
              </w:rPr>
            </w:pPr>
            <w:r w:rsidRPr="00E842A2">
              <w:rPr>
                <w:rFonts w:asciiTheme="majorBidi" w:hAnsiTheme="majorBidi" w:cstheme="majorBidi"/>
              </w:rPr>
              <w:t>Authorization or license, if any, from a regulatory authority that is a member of the International Organization of Securities Commissions (IOSCO), together with supporting documents</w:t>
            </w:r>
            <w:r>
              <w:rPr>
                <w:rFonts w:asciiTheme="majorBidi" w:hAnsiTheme="majorBidi" w:cstheme="majorBidi"/>
              </w:rPr>
              <w:t>;</w:t>
            </w:r>
          </w:p>
        </w:tc>
      </w:tr>
      <w:tr w:rsidR="003260D4" w14:paraId="5D34C207" w14:textId="77777777" w:rsidTr="00D250C6">
        <w:trPr>
          <w:trHeight w:val="884"/>
        </w:trPr>
        <w:tc>
          <w:tcPr>
            <w:tcW w:w="2055" w:type="dxa"/>
          </w:tcPr>
          <w:p w14:paraId="09DE251C" w14:textId="77777777" w:rsidR="003260D4" w:rsidRDefault="003260D4" w:rsidP="00C8197E">
            <w:pPr>
              <w:rPr>
                <w:rFonts w:asciiTheme="majorBidi" w:hAnsiTheme="majorBidi" w:cstheme="majorBidi"/>
                <w:sz w:val="22"/>
                <w:szCs w:val="22"/>
              </w:rPr>
            </w:pPr>
          </w:p>
        </w:tc>
        <w:tc>
          <w:tcPr>
            <w:tcW w:w="627" w:type="dxa"/>
          </w:tcPr>
          <w:p w14:paraId="2A42590C" w14:textId="77777777" w:rsidR="003260D4" w:rsidRDefault="003260D4" w:rsidP="00C8197E">
            <w:pPr>
              <w:rPr>
                <w:rFonts w:asciiTheme="majorBidi" w:hAnsiTheme="majorBidi" w:cstheme="majorBidi"/>
                <w:sz w:val="22"/>
                <w:szCs w:val="22"/>
              </w:rPr>
            </w:pPr>
          </w:p>
        </w:tc>
        <w:tc>
          <w:tcPr>
            <w:tcW w:w="628" w:type="dxa"/>
          </w:tcPr>
          <w:p w14:paraId="4E5EEBD6" w14:textId="77777777" w:rsidR="003260D4" w:rsidRDefault="003260D4" w:rsidP="00C8197E">
            <w:pPr>
              <w:rPr>
                <w:rFonts w:asciiTheme="majorBidi" w:hAnsiTheme="majorBidi" w:cstheme="majorBidi"/>
                <w:sz w:val="22"/>
                <w:szCs w:val="22"/>
              </w:rPr>
            </w:pPr>
          </w:p>
        </w:tc>
        <w:tc>
          <w:tcPr>
            <w:tcW w:w="616" w:type="dxa"/>
            <w:gridSpan w:val="2"/>
          </w:tcPr>
          <w:p w14:paraId="2A8A5FB6" w14:textId="029F9FE8" w:rsidR="003260D4" w:rsidRDefault="00774E43" w:rsidP="00C8197E">
            <w:pPr>
              <w:rPr>
                <w:rFonts w:asciiTheme="majorBidi" w:hAnsiTheme="majorBidi" w:cstheme="majorBidi"/>
              </w:rPr>
            </w:pPr>
            <w:r>
              <w:rPr>
                <w:rFonts w:asciiTheme="majorBidi" w:hAnsiTheme="majorBidi" w:cstheme="majorBidi"/>
              </w:rPr>
              <w:t>(10)</w:t>
            </w:r>
          </w:p>
        </w:tc>
        <w:tc>
          <w:tcPr>
            <w:tcW w:w="6003" w:type="dxa"/>
          </w:tcPr>
          <w:p w14:paraId="1986A355" w14:textId="1B08774D" w:rsidR="003260D4" w:rsidRPr="00484243" w:rsidRDefault="00774E43" w:rsidP="0039350F">
            <w:pPr>
              <w:spacing w:line="360" w:lineRule="auto"/>
              <w:jc w:val="both"/>
              <w:rPr>
                <w:rFonts w:asciiTheme="majorBidi" w:hAnsiTheme="majorBidi" w:cstheme="majorBidi"/>
              </w:rPr>
            </w:pPr>
            <w:r w:rsidRPr="00774E43">
              <w:rPr>
                <w:rFonts w:asciiTheme="majorBidi" w:hAnsiTheme="majorBidi" w:cstheme="majorBidi"/>
              </w:rPr>
              <w:t>Withdrawal or exit plan from the Sandbox (including the post-Sandbox deployment plan and the plan for discontinuation in the event of project failure)</w:t>
            </w:r>
            <w:r>
              <w:rPr>
                <w:rFonts w:asciiTheme="majorBidi" w:hAnsiTheme="majorBidi" w:cstheme="majorBidi"/>
              </w:rPr>
              <w:t>;</w:t>
            </w:r>
          </w:p>
        </w:tc>
      </w:tr>
      <w:tr w:rsidR="003260D4" w14:paraId="2D13871F" w14:textId="77777777" w:rsidTr="00D250C6">
        <w:trPr>
          <w:trHeight w:val="884"/>
        </w:trPr>
        <w:tc>
          <w:tcPr>
            <w:tcW w:w="2055" w:type="dxa"/>
          </w:tcPr>
          <w:p w14:paraId="4C0471B1" w14:textId="77777777" w:rsidR="003260D4" w:rsidRDefault="003260D4" w:rsidP="00C8197E">
            <w:pPr>
              <w:rPr>
                <w:rFonts w:asciiTheme="majorBidi" w:hAnsiTheme="majorBidi" w:cstheme="majorBidi"/>
                <w:sz w:val="22"/>
                <w:szCs w:val="22"/>
              </w:rPr>
            </w:pPr>
          </w:p>
        </w:tc>
        <w:tc>
          <w:tcPr>
            <w:tcW w:w="627" w:type="dxa"/>
          </w:tcPr>
          <w:p w14:paraId="618A6366" w14:textId="77777777" w:rsidR="003260D4" w:rsidRDefault="003260D4" w:rsidP="00C8197E">
            <w:pPr>
              <w:rPr>
                <w:rFonts w:asciiTheme="majorBidi" w:hAnsiTheme="majorBidi" w:cstheme="majorBidi"/>
                <w:sz w:val="22"/>
                <w:szCs w:val="22"/>
              </w:rPr>
            </w:pPr>
          </w:p>
        </w:tc>
        <w:tc>
          <w:tcPr>
            <w:tcW w:w="628" w:type="dxa"/>
          </w:tcPr>
          <w:p w14:paraId="15142091" w14:textId="77777777" w:rsidR="003260D4" w:rsidRDefault="003260D4" w:rsidP="00C8197E">
            <w:pPr>
              <w:rPr>
                <w:rFonts w:asciiTheme="majorBidi" w:hAnsiTheme="majorBidi" w:cstheme="majorBidi"/>
                <w:sz w:val="22"/>
                <w:szCs w:val="22"/>
              </w:rPr>
            </w:pPr>
          </w:p>
        </w:tc>
        <w:tc>
          <w:tcPr>
            <w:tcW w:w="616" w:type="dxa"/>
            <w:gridSpan w:val="2"/>
          </w:tcPr>
          <w:p w14:paraId="40320C5B" w14:textId="25EAD4C3" w:rsidR="003260D4" w:rsidRDefault="00774E43" w:rsidP="00C8197E">
            <w:pPr>
              <w:rPr>
                <w:rFonts w:asciiTheme="majorBidi" w:hAnsiTheme="majorBidi" w:cstheme="majorBidi"/>
              </w:rPr>
            </w:pPr>
            <w:r>
              <w:rPr>
                <w:rFonts w:asciiTheme="majorBidi" w:hAnsiTheme="majorBidi" w:cstheme="majorBidi"/>
              </w:rPr>
              <w:t>(11)</w:t>
            </w:r>
          </w:p>
        </w:tc>
        <w:tc>
          <w:tcPr>
            <w:tcW w:w="6003" w:type="dxa"/>
          </w:tcPr>
          <w:p w14:paraId="5B10C2F1" w14:textId="30E40756" w:rsidR="003260D4" w:rsidRPr="00484243" w:rsidRDefault="00774E43" w:rsidP="0039350F">
            <w:pPr>
              <w:spacing w:line="360" w:lineRule="auto"/>
              <w:jc w:val="both"/>
              <w:rPr>
                <w:rFonts w:asciiTheme="majorBidi" w:hAnsiTheme="majorBidi" w:cstheme="majorBidi"/>
              </w:rPr>
            </w:pPr>
            <w:r w:rsidRPr="00774E43">
              <w:rPr>
                <w:rFonts w:asciiTheme="majorBidi" w:hAnsiTheme="majorBidi" w:cstheme="majorBidi"/>
              </w:rPr>
              <w:t>All documents and information arising from pre-application discussions</w:t>
            </w:r>
            <w:r>
              <w:rPr>
                <w:rFonts w:asciiTheme="majorBidi" w:hAnsiTheme="majorBidi" w:cstheme="majorBidi"/>
              </w:rPr>
              <w:t>;</w:t>
            </w:r>
          </w:p>
        </w:tc>
      </w:tr>
      <w:tr w:rsidR="003260D4" w14:paraId="655007CE" w14:textId="77777777" w:rsidTr="00D250C6">
        <w:trPr>
          <w:trHeight w:val="884"/>
        </w:trPr>
        <w:tc>
          <w:tcPr>
            <w:tcW w:w="2055" w:type="dxa"/>
          </w:tcPr>
          <w:p w14:paraId="6133757E" w14:textId="77777777" w:rsidR="003260D4" w:rsidRDefault="003260D4" w:rsidP="00C8197E">
            <w:pPr>
              <w:rPr>
                <w:rFonts w:asciiTheme="majorBidi" w:hAnsiTheme="majorBidi" w:cstheme="majorBidi"/>
                <w:sz w:val="22"/>
                <w:szCs w:val="22"/>
              </w:rPr>
            </w:pPr>
          </w:p>
        </w:tc>
        <w:tc>
          <w:tcPr>
            <w:tcW w:w="627" w:type="dxa"/>
          </w:tcPr>
          <w:p w14:paraId="0E2F5CAF" w14:textId="77777777" w:rsidR="003260D4" w:rsidRDefault="003260D4" w:rsidP="00C8197E">
            <w:pPr>
              <w:rPr>
                <w:rFonts w:asciiTheme="majorBidi" w:hAnsiTheme="majorBidi" w:cstheme="majorBidi"/>
                <w:sz w:val="22"/>
                <w:szCs w:val="22"/>
              </w:rPr>
            </w:pPr>
          </w:p>
        </w:tc>
        <w:tc>
          <w:tcPr>
            <w:tcW w:w="628" w:type="dxa"/>
          </w:tcPr>
          <w:p w14:paraId="4A036D5B" w14:textId="77777777" w:rsidR="003260D4" w:rsidRDefault="003260D4" w:rsidP="00C8197E">
            <w:pPr>
              <w:rPr>
                <w:rFonts w:asciiTheme="majorBidi" w:hAnsiTheme="majorBidi" w:cstheme="majorBidi"/>
                <w:sz w:val="22"/>
                <w:szCs w:val="22"/>
              </w:rPr>
            </w:pPr>
          </w:p>
        </w:tc>
        <w:tc>
          <w:tcPr>
            <w:tcW w:w="616" w:type="dxa"/>
            <w:gridSpan w:val="2"/>
          </w:tcPr>
          <w:p w14:paraId="0087165A" w14:textId="5F7FC577" w:rsidR="003260D4" w:rsidRDefault="00774E43" w:rsidP="00C8197E">
            <w:pPr>
              <w:rPr>
                <w:rFonts w:asciiTheme="majorBidi" w:hAnsiTheme="majorBidi" w:cstheme="majorBidi"/>
              </w:rPr>
            </w:pPr>
            <w:r>
              <w:rPr>
                <w:rFonts w:asciiTheme="majorBidi" w:hAnsiTheme="majorBidi" w:cstheme="majorBidi"/>
              </w:rPr>
              <w:t>(12)</w:t>
            </w:r>
          </w:p>
        </w:tc>
        <w:tc>
          <w:tcPr>
            <w:tcW w:w="6003" w:type="dxa"/>
          </w:tcPr>
          <w:p w14:paraId="59712973" w14:textId="546B939A" w:rsidR="003260D4" w:rsidRPr="00484243" w:rsidRDefault="008179EC" w:rsidP="0039350F">
            <w:pPr>
              <w:spacing w:line="360" w:lineRule="auto"/>
              <w:jc w:val="both"/>
              <w:rPr>
                <w:rFonts w:asciiTheme="majorBidi" w:hAnsiTheme="majorBidi" w:cstheme="majorBidi"/>
              </w:rPr>
            </w:pPr>
            <w:r w:rsidRPr="00C00239">
              <w:rPr>
                <w:rFonts w:asciiTheme="majorBidi" w:hAnsiTheme="majorBidi" w:cstheme="majorBidi"/>
              </w:rPr>
              <w:t>Any other information required to test the proposed product or service in the Sandbox, including anticipated challenges</w:t>
            </w:r>
            <w:r w:rsidR="00D250C6">
              <w:rPr>
                <w:rFonts w:asciiTheme="majorBidi" w:hAnsiTheme="majorBidi" w:cstheme="majorBidi"/>
              </w:rPr>
              <w:t>;</w:t>
            </w:r>
          </w:p>
        </w:tc>
      </w:tr>
      <w:tr w:rsidR="003260D4" w14:paraId="0BBAF9A0" w14:textId="77777777" w:rsidTr="00D250C6">
        <w:trPr>
          <w:trHeight w:val="884"/>
        </w:trPr>
        <w:tc>
          <w:tcPr>
            <w:tcW w:w="2055" w:type="dxa"/>
          </w:tcPr>
          <w:p w14:paraId="4A4845C6" w14:textId="77777777" w:rsidR="003260D4" w:rsidRDefault="003260D4" w:rsidP="00C8197E">
            <w:pPr>
              <w:rPr>
                <w:rFonts w:asciiTheme="majorBidi" w:hAnsiTheme="majorBidi" w:cstheme="majorBidi"/>
                <w:sz w:val="22"/>
                <w:szCs w:val="22"/>
              </w:rPr>
            </w:pPr>
          </w:p>
        </w:tc>
        <w:tc>
          <w:tcPr>
            <w:tcW w:w="627" w:type="dxa"/>
          </w:tcPr>
          <w:p w14:paraId="51A991E6" w14:textId="77777777" w:rsidR="003260D4" w:rsidRDefault="003260D4" w:rsidP="00C8197E">
            <w:pPr>
              <w:rPr>
                <w:rFonts w:asciiTheme="majorBidi" w:hAnsiTheme="majorBidi" w:cstheme="majorBidi"/>
                <w:sz w:val="22"/>
                <w:szCs w:val="22"/>
              </w:rPr>
            </w:pPr>
          </w:p>
        </w:tc>
        <w:tc>
          <w:tcPr>
            <w:tcW w:w="628" w:type="dxa"/>
          </w:tcPr>
          <w:p w14:paraId="714EFDA4" w14:textId="77777777" w:rsidR="003260D4" w:rsidRDefault="003260D4" w:rsidP="00C8197E">
            <w:pPr>
              <w:rPr>
                <w:rFonts w:asciiTheme="majorBidi" w:hAnsiTheme="majorBidi" w:cstheme="majorBidi"/>
                <w:sz w:val="22"/>
                <w:szCs w:val="22"/>
              </w:rPr>
            </w:pPr>
          </w:p>
        </w:tc>
        <w:tc>
          <w:tcPr>
            <w:tcW w:w="616" w:type="dxa"/>
            <w:gridSpan w:val="2"/>
          </w:tcPr>
          <w:p w14:paraId="7E657BA7" w14:textId="67F1D66E" w:rsidR="003260D4" w:rsidRPr="008179EC" w:rsidRDefault="008179EC" w:rsidP="00C8197E">
            <w:pPr>
              <w:rPr>
                <w:rFonts w:asciiTheme="majorBidi" w:hAnsiTheme="majorBidi" w:cs="MV Boli"/>
                <w:lang w:bidi="dv-MV"/>
              </w:rPr>
            </w:pPr>
            <w:r>
              <w:rPr>
                <w:rFonts w:asciiTheme="majorBidi" w:hAnsiTheme="majorBidi" w:cs="MV Boli"/>
                <w:lang w:bidi="dv-MV"/>
              </w:rPr>
              <w:t>(13)</w:t>
            </w:r>
          </w:p>
        </w:tc>
        <w:tc>
          <w:tcPr>
            <w:tcW w:w="6003" w:type="dxa"/>
          </w:tcPr>
          <w:p w14:paraId="1645B845" w14:textId="3CBDCD1E" w:rsidR="003260D4" w:rsidRPr="00484243" w:rsidRDefault="008179EC" w:rsidP="0039350F">
            <w:pPr>
              <w:spacing w:line="360" w:lineRule="auto"/>
              <w:jc w:val="both"/>
              <w:rPr>
                <w:rFonts w:asciiTheme="majorBidi" w:hAnsiTheme="majorBidi" w:cstheme="majorBidi"/>
              </w:rPr>
            </w:pPr>
            <w:r w:rsidRPr="008179EC">
              <w:rPr>
                <w:rFonts w:asciiTheme="majorBidi" w:hAnsiTheme="majorBidi" w:cstheme="majorBidi"/>
              </w:rPr>
              <w:t>A declaration signed by the senior officials of the applicant, confirming the accuracy of the information submitted and agreeing to comply with the requirements of the Sandbox.</w:t>
            </w:r>
          </w:p>
        </w:tc>
      </w:tr>
      <w:tr w:rsidR="00D250C6" w14:paraId="3452478B" w14:textId="77777777" w:rsidTr="008D6879">
        <w:trPr>
          <w:trHeight w:val="884"/>
        </w:trPr>
        <w:tc>
          <w:tcPr>
            <w:tcW w:w="9929" w:type="dxa"/>
            <w:gridSpan w:val="6"/>
          </w:tcPr>
          <w:p w14:paraId="1801C2BC" w14:textId="77777777" w:rsidR="00D250C6" w:rsidRDefault="00D250C6" w:rsidP="00D250C6">
            <w:pPr>
              <w:jc w:val="center"/>
              <w:rPr>
                <w:rFonts w:asciiTheme="majorBidi" w:hAnsiTheme="majorBidi" w:cs="MV Boli"/>
                <w:rtl/>
                <w:lang w:bidi="dv-MV"/>
              </w:rPr>
            </w:pPr>
          </w:p>
          <w:p w14:paraId="4B1B87BF" w14:textId="77777777" w:rsidR="00D250C6" w:rsidRPr="00D250C6" w:rsidRDefault="00D250C6" w:rsidP="00D250C6">
            <w:pPr>
              <w:jc w:val="center"/>
              <w:rPr>
                <w:rFonts w:asciiTheme="majorBidi" w:hAnsiTheme="majorBidi" w:cs="MV Boli"/>
                <w:b/>
                <w:bCs/>
                <w:lang w:bidi="dv-MV"/>
              </w:rPr>
            </w:pPr>
            <w:r w:rsidRPr="00D250C6">
              <w:rPr>
                <w:rFonts w:asciiTheme="majorBidi" w:hAnsiTheme="majorBidi" w:cs="MV Boli"/>
                <w:b/>
                <w:bCs/>
                <w:lang w:bidi="dv-MV"/>
              </w:rPr>
              <w:t>Chapter 4</w:t>
            </w:r>
          </w:p>
          <w:p w14:paraId="2F900C03" w14:textId="77777777" w:rsidR="00D250C6" w:rsidRPr="00D250C6" w:rsidRDefault="00D250C6" w:rsidP="00D250C6">
            <w:pPr>
              <w:jc w:val="center"/>
              <w:rPr>
                <w:rFonts w:asciiTheme="majorBidi" w:hAnsiTheme="majorBidi" w:cs="MV Boli"/>
                <w:b/>
                <w:bCs/>
                <w:lang w:bidi="dv-MV"/>
              </w:rPr>
            </w:pPr>
          </w:p>
          <w:p w14:paraId="37EC0CC0" w14:textId="77777777" w:rsidR="00D250C6" w:rsidRPr="00D250C6" w:rsidRDefault="00D250C6" w:rsidP="00D250C6">
            <w:pPr>
              <w:jc w:val="center"/>
              <w:rPr>
                <w:rFonts w:asciiTheme="majorBidi" w:hAnsiTheme="majorBidi" w:cs="MV Boli"/>
                <w:b/>
                <w:bCs/>
                <w:lang w:bidi="dv-MV"/>
              </w:rPr>
            </w:pPr>
            <w:r w:rsidRPr="00D250C6">
              <w:rPr>
                <w:rFonts w:asciiTheme="majorBidi" w:hAnsiTheme="majorBidi" w:cs="MV Boli"/>
                <w:b/>
                <w:bCs/>
                <w:lang w:bidi="dv-MV"/>
              </w:rPr>
              <w:t>Testing in the Sandbox</w:t>
            </w:r>
          </w:p>
          <w:p w14:paraId="584042DF" w14:textId="5B3DB349" w:rsidR="00D250C6" w:rsidRPr="00D250C6" w:rsidRDefault="00D250C6" w:rsidP="00D250C6">
            <w:pPr>
              <w:jc w:val="center"/>
              <w:rPr>
                <w:rFonts w:asciiTheme="majorBidi" w:hAnsiTheme="majorBidi" w:cs="MV Boli"/>
                <w:lang w:bidi="dv-MV"/>
              </w:rPr>
            </w:pPr>
          </w:p>
        </w:tc>
      </w:tr>
      <w:tr w:rsidR="00D250C6" w14:paraId="3F955D74" w14:textId="77777777" w:rsidTr="00CA5CD2">
        <w:trPr>
          <w:trHeight w:val="884"/>
        </w:trPr>
        <w:tc>
          <w:tcPr>
            <w:tcW w:w="2055" w:type="dxa"/>
          </w:tcPr>
          <w:p w14:paraId="7DCC718E" w14:textId="6328EF94" w:rsidR="00D250C6" w:rsidRPr="00D250C6" w:rsidRDefault="00D250C6" w:rsidP="00D250C6">
            <w:pPr>
              <w:rPr>
                <w:rFonts w:asciiTheme="majorBidi" w:hAnsiTheme="majorBidi" w:cstheme="majorBidi"/>
                <w:sz w:val="22"/>
                <w:szCs w:val="22"/>
              </w:rPr>
            </w:pPr>
            <w:r w:rsidRPr="00D250C6">
              <w:rPr>
                <w:rFonts w:asciiTheme="majorBidi" w:hAnsiTheme="majorBidi" w:cstheme="majorBidi"/>
                <w:sz w:val="22"/>
                <w:szCs w:val="22"/>
              </w:rPr>
              <w:t>Review of Sandbox Product or Service</w:t>
            </w:r>
          </w:p>
          <w:p w14:paraId="538F73DD" w14:textId="181927D4" w:rsidR="00D250C6" w:rsidRDefault="00D250C6" w:rsidP="00D250C6">
            <w:pPr>
              <w:rPr>
                <w:rFonts w:asciiTheme="majorBidi" w:hAnsiTheme="majorBidi" w:cstheme="majorBidi"/>
                <w:sz w:val="22"/>
                <w:szCs w:val="22"/>
              </w:rPr>
            </w:pPr>
          </w:p>
        </w:tc>
        <w:tc>
          <w:tcPr>
            <w:tcW w:w="627" w:type="dxa"/>
          </w:tcPr>
          <w:p w14:paraId="415CD35B" w14:textId="1A81633B" w:rsidR="00D250C6" w:rsidRDefault="00D250C6" w:rsidP="00C8197E">
            <w:pPr>
              <w:rPr>
                <w:rFonts w:asciiTheme="majorBidi" w:hAnsiTheme="majorBidi" w:cstheme="majorBidi"/>
                <w:sz w:val="22"/>
                <w:szCs w:val="22"/>
              </w:rPr>
            </w:pPr>
            <w:r>
              <w:rPr>
                <w:rFonts w:asciiTheme="majorBidi" w:hAnsiTheme="majorBidi" w:cstheme="majorBidi"/>
                <w:sz w:val="22"/>
                <w:szCs w:val="22"/>
              </w:rPr>
              <w:t>7.</w:t>
            </w:r>
          </w:p>
        </w:tc>
        <w:tc>
          <w:tcPr>
            <w:tcW w:w="7247" w:type="dxa"/>
            <w:gridSpan w:val="4"/>
          </w:tcPr>
          <w:p w14:paraId="142A8DFA" w14:textId="3968658D" w:rsidR="00D250C6" w:rsidRPr="00484243" w:rsidRDefault="0039350F" w:rsidP="000A724E">
            <w:pPr>
              <w:spacing w:line="360" w:lineRule="auto"/>
              <w:jc w:val="both"/>
              <w:rPr>
                <w:rFonts w:asciiTheme="majorBidi" w:hAnsiTheme="majorBidi" w:cstheme="majorBidi"/>
              </w:rPr>
            </w:pPr>
            <w:r w:rsidRPr="0039350F">
              <w:rPr>
                <w:rFonts w:asciiTheme="majorBidi" w:hAnsiTheme="majorBidi" w:cstheme="majorBidi"/>
              </w:rPr>
              <w:t>The Authority shall determine the eligibility of participants and the products or services to be tested in the Sandbox under these Regulations. In doing so, the Authority may, at its discretion, seek advice or consultation from experts in the relevant fields.</w:t>
            </w:r>
          </w:p>
        </w:tc>
      </w:tr>
      <w:tr w:rsidR="0039350F" w14:paraId="0B3CBCE6" w14:textId="77777777" w:rsidTr="00CA5CD2">
        <w:trPr>
          <w:trHeight w:val="884"/>
        </w:trPr>
        <w:tc>
          <w:tcPr>
            <w:tcW w:w="2055" w:type="dxa"/>
          </w:tcPr>
          <w:p w14:paraId="28521980" w14:textId="4DE3900F" w:rsidR="0039350F" w:rsidRPr="00D250C6" w:rsidRDefault="0039350F" w:rsidP="0039350F">
            <w:pPr>
              <w:rPr>
                <w:rFonts w:asciiTheme="majorBidi" w:hAnsiTheme="majorBidi" w:cstheme="majorBidi"/>
                <w:sz w:val="22"/>
                <w:szCs w:val="22"/>
              </w:rPr>
            </w:pPr>
            <w:r w:rsidRPr="0039350F">
              <w:rPr>
                <w:rFonts w:asciiTheme="majorBidi" w:hAnsiTheme="majorBidi" w:cstheme="majorBidi"/>
                <w:sz w:val="22"/>
                <w:szCs w:val="22"/>
              </w:rPr>
              <w:t>Authority’s Responsibility in Reviewing Sandbox Products or Services</w:t>
            </w:r>
          </w:p>
        </w:tc>
        <w:tc>
          <w:tcPr>
            <w:tcW w:w="627" w:type="dxa"/>
          </w:tcPr>
          <w:p w14:paraId="70A911E9" w14:textId="153F998E" w:rsidR="0039350F" w:rsidRDefault="0039350F" w:rsidP="00C8197E">
            <w:pPr>
              <w:rPr>
                <w:rFonts w:asciiTheme="majorBidi" w:hAnsiTheme="majorBidi" w:cstheme="majorBidi"/>
                <w:sz w:val="22"/>
                <w:szCs w:val="22"/>
              </w:rPr>
            </w:pPr>
            <w:r>
              <w:rPr>
                <w:rFonts w:asciiTheme="majorBidi" w:hAnsiTheme="majorBidi" w:cstheme="majorBidi"/>
                <w:sz w:val="22"/>
                <w:szCs w:val="22"/>
              </w:rPr>
              <w:t>8.</w:t>
            </w:r>
          </w:p>
        </w:tc>
        <w:tc>
          <w:tcPr>
            <w:tcW w:w="7247" w:type="dxa"/>
            <w:gridSpan w:val="4"/>
          </w:tcPr>
          <w:p w14:paraId="21210800" w14:textId="3E38C151" w:rsidR="0039350F" w:rsidRPr="0039350F" w:rsidRDefault="0039350F" w:rsidP="000A724E">
            <w:pPr>
              <w:spacing w:line="360" w:lineRule="auto"/>
              <w:jc w:val="both"/>
              <w:rPr>
                <w:rFonts w:asciiTheme="majorBidi" w:hAnsiTheme="majorBidi" w:cstheme="majorBidi"/>
              </w:rPr>
            </w:pPr>
            <w:r w:rsidRPr="0039350F">
              <w:rPr>
                <w:rFonts w:asciiTheme="majorBidi" w:hAnsiTheme="majorBidi" w:cstheme="majorBidi"/>
              </w:rPr>
              <w:t>The Authority’s</w:t>
            </w:r>
            <w:r>
              <w:rPr>
                <w:rFonts w:asciiTheme="majorBidi" w:hAnsiTheme="majorBidi" w:cs="MV Boli" w:hint="cs"/>
                <w:rtl/>
                <w:lang w:bidi="dv-MV"/>
              </w:rPr>
              <w:t xml:space="preserve"> </w:t>
            </w:r>
            <w:r w:rsidRPr="0039350F">
              <w:rPr>
                <w:rFonts w:asciiTheme="majorBidi" w:hAnsiTheme="majorBidi" w:cstheme="majorBidi"/>
              </w:rPr>
              <w:t>responsibilities in the review of Sandbox products and services are as follows:</w:t>
            </w:r>
          </w:p>
        </w:tc>
      </w:tr>
      <w:tr w:rsidR="00C8197E" w14:paraId="421FF546" w14:textId="77777777" w:rsidTr="00D250C6">
        <w:trPr>
          <w:trHeight w:val="884"/>
        </w:trPr>
        <w:tc>
          <w:tcPr>
            <w:tcW w:w="2055" w:type="dxa"/>
          </w:tcPr>
          <w:p w14:paraId="27897603" w14:textId="77777777" w:rsidR="00C8197E" w:rsidRDefault="00C8197E" w:rsidP="00C8197E">
            <w:pPr>
              <w:rPr>
                <w:rFonts w:asciiTheme="majorBidi" w:hAnsiTheme="majorBidi" w:cstheme="majorBidi"/>
                <w:sz w:val="22"/>
                <w:szCs w:val="22"/>
              </w:rPr>
            </w:pPr>
          </w:p>
        </w:tc>
        <w:tc>
          <w:tcPr>
            <w:tcW w:w="627" w:type="dxa"/>
          </w:tcPr>
          <w:p w14:paraId="5F810E74" w14:textId="77777777" w:rsidR="00C8197E" w:rsidRDefault="00C8197E" w:rsidP="00C8197E">
            <w:pPr>
              <w:rPr>
                <w:rFonts w:asciiTheme="majorBidi" w:hAnsiTheme="majorBidi" w:cstheme="majorBidi"/>
                <w:sz w:val="22"/>
                <w:szCs w:val="22"/>
              </w:rPr>
            </w:pPr>
          </w:p>
        </w:tc>
        <w:tc>
          <w:tcPr>
            <w:tcW w:w="628" w:type="dxa"/>
          </w:tcPr>
          <w:p w14:paraId="75146F46" w14:textId="0F1C1E6B" w:rsidR="00C8197E" w:rsidRPr="0039350F" w:rsidRDefault="0039350F" w:rsidP="00C8197E">
            <w:pPr>
              <w:rPr>
                <w:rFonts w:asciiTheme="majorBidi" w:hAnsiTheme="majorBidi" w:cs="MV Boli"/>
                <w:sz w:val="22"/>
                <w:szCs w:val="22"/>
                <w:lang w:bidi="dv-MV"/>
              </w:rPr>
            </w:pPr>
            <w:r>
              <w:rPr>
                <w:rFonts w:asciiTheme="majorBidi" w:hAnsiTheme="majorBidi" w:cs="MV Boli"/>
                <w:sz w:val="22"/>
                <w:szCs w:val="22"/>
                <w:lang w:bidi="dv-MV"/>
              </w:rPr>
              <w:t>(a)</w:t>
            </w:r>
          </w:p>
        </w:tc>
        <w:tc>
          <w:tcPr>
            <w:tcW w:w="6619" w:type="dxa"/>
            <w:gridSpan w:val="3"/>
          </w:tcPr>
          <w:p w14:paraId="2BFDC94A" w14:textId="3DC6BBF3" w:rsidR="00C8197E" w:rsidRPr="00484243" w:rsidRDefault="004B10A0" w:rsidP="000A724E">
            <w:pPr>
              <w:spacing w:line="360" w:lineRule="auto"/>
              <w:jc w:val="both"/>
              <w:rPr>
                <w:rFonts w:asciiTheme="majorBidi" w:hAnsiTheme="majorBidi" w:cstheme="majorBidi"/>
              </w:rPr>
            </w:pPr>
            <w:r w:rsidRPr="004B10A0">
              <w:rPr>
                <w:rFonts w:asciiTheme="majorBidi" w:hAnsiTheme="majorBidi" w:cstheme="majorBidi"/>
              </w:rPr>
              <w:t xml:space="preserve">Review and analyze proposals for participation in the sandbox and issue a decision on </w:t>
            </w:r>
            <w:r>
              <w:rPr>
                <w:rFonts w:asciiTheme="majorBidi" w:hAnsiTheme="majorBidi" w:cstheme="majorBidi"/>
              </w:rPr>
              <w:t>the eligibility of the product or service;</w:t>
            </w:r>
          </w:p>
        </w:tc>
      </w:tr>
      <w:tr w:rsidR="00C8197E" w14:paraId="57BEBBD6" w14:textId="77777777" w:rsidTr="00D250C6">
        <w:trPr>
          <w:trHeight w:val="884"/>
        </w:trPr>
        <w:tc>
          <w:tcPr>
            <w:tcW w:w="2055" w:type="dxa"/>
          </w:tcPr>
          <w:p w14:paraId="5F114CA7" w14:textId="77777777" w:rsidR="00C8197E" w:rsidRDefault="00C8197E" w:rsidP="00C8197E">
            <w:pPr>
              <w:rPr>
                <w:rFonts w:asciiTheme="majorBidi" w:hAnsiTheme="majorBidi" w:cstheme="majorBidi"/>
                <w:sz w:val="22"/>
                <w:szCs w:val="22"/>
              </w:rPr>
            </w:pPr>
          </w:p>
        </w:tc>
        <w:tc>
          <w:tcPr>
            <w:tcW w:w="627" w:type="dxa"/>
          </w:tcPr>
          <w:p w14:paraId="35B694C9" w14:textId="77777777" w:rsidR="00C8197E" w:rsidRDefault="00C8197E" w:rsidP="00C8197E">
            <w:pPr>
              <w:rPr>
                <w:rFonts w:asciiTheme="majorBidi" w:hAnsiTheme="majorBidi" w:cstheme="majorBidi"/>
                <w:sz w:val="22"/>
                <w:szCs w:val="22"/>
              </w:rPr>
            </w:pPr>
          </w:p>
        </w:tc>
        <w:tc>
          <w:tcPr>
            <w:tcW w:w="628" w:type="dxa"/>
          </w:tcPr>
          <w:p w14:paraId="3876AEFF" w14:textId="0B630959" w:rsidR="00C8197E" w:rsidRDefault="004B10A0" w:rsidP="00C8197E">
            <w:pPr>
              <w:rPr>
                <w:rFonts w:asciiTheme="majorBidi" w:hAnsiTheme="majorBidi" w:cstheme="majorBidi"/>
                <w:sz w:val="22"/>
                <w:szCs w:val="22"/>
              </w:rPr>
            </w:pPr>
            <w:r>
              <w:rPr>
                <w:rFonts w:asciiTheme="majorBidi" w:hAnsiTheme="majorBidi" w:cstheme="majorBidi"/>
                <w:sz w:val="22"/>
                <w:szCs w:val="22"/>
              </w:rPr>
              <w:t>(b)</w:t>
            </w:r>
          </w:p>
        </w:tc>
        <w:tc>
          <w:tcPr>
            <w:tcW w:w="6619" w:type="dxa"/>
            <w:gridSpan w:val="3"/>
          </w:tcPr>
          <w:p w14:paraId="3C244D85" w14:textId="00C041AD" w:rsidR="00C8197E" w:rsidRPr="00484243" w:rsidRDefault="004B10A0" w:rsidP="000A724E">
            <w:pPr>
              <w:spacing w:line="360" w:lineRule="auto"/>
              <w:jc w:val="both"/>
              <w:rPr>
                <w:rFonts w:asciiTheme="majorBidi" w:hAnsiTheme="majorBidi" w:cstheme="majorBidi"/>
              </w:rPr>
            </w:pPr>
            <w:r w:rsidRPr="004B10A0">
              <w:rPr>
                <w:rFonts w:asciiTheme="majorBidi" w:hAnsiTheme="majorBidi" w:cstheme="majorBidi"/>
              </w:rPr>
              <w:t>A decision on each application shall be made within a reasonable time</w:t>
            </w:r>
            <w:r>
              <w:rPr>
                <w:rFonts w:asciiTheme="majorBidi" w:hAnsiTheme="majorBidi" w:cstheme="majorBidi"/>
              </w:rPr>
              <w:t>;</w:t>
            </w:r>
          </w:p>
        </w:tc>
      </w:tr>
      <w:tr w:rsidR="00C8197E" w14:paraId="0BA198AF" w14:textId="77777777" w:rsidTr="00D250C6">
        <w:trPr>
          <w:trHeight w:val="884"/>
        </w:trPr>
        <w:tc>
          <w:tcPr>
            <w:tcW w:w="2055" w:type="dxa"/>
          </w:tcPr>
          <w:p w14:paraId="4B38D663" w14:textId="77777777" w:rsidR="00C8197E" w:rsidRDefault="00C8197E" w:rsidP="00C8197E">
            <w:pPr>
              <w:rPr>
                <w:rFonts w:asciiTheme="majorBidi" w:hAnsiTheme="majorBidi" w:cstheme="majorBidi"/>
                <w:sz w:val="22"/>
                <w:szCs w:val="22"/>
              </w:rPr>
            </w:pPr>
          </w:p>
        </w:tc>
        <w:tc>
          <w:tcPr>
            <w:tcW w:w="627" w:type="dxa"/>
          </w:tcPr>
          <w:p w14:paraId="5E855F0B" w14:textId="77777777" w:rsidR="00C8197E" w:rsidRDefault="00C8197E" w:rsidP="00C8197E">
            <w:pPr>
              <w:rPr>
                <w:rFonts w:asciiTheme="majorBidi" w:hAnsiTheme="majorBidi" w:cstheme="majorBidi"/>
                <w:sz w:val="22"/>
                <w:szCs w:val="22"/>
              </w:rPr>
            </w:pPr>
          </w:p>
        </w:tc>
        <w:tc>
          <w:tcPr>
            <w:tcW w:w="628" w:type="dxa"/>
          </w:tcPr>
          <w:p w14:paraId="3D9C02FC" w14:textId="0283EF60" w:rsidR="00C8197E" w:rsidRDefault="004B10A0" w:rsidP="00C8197E">
            <w:pPr>
              <w:rPr>
                <w:rFonts w:asciiTheme="majorBidi" w:hAnsiTheme="majorBidi" w:cstheme="majorBidi"/>
                <w:sz w:val="22"/>
                <w:szCs w:val="22"/>
              </w:rPr>
            </w:pPr>
            <w:r>
              <w:rPr>
                <w:rFonts w:asciiTheme="majorBidi" w:hAnsiTheme="majorBidi" w:cstheme="majorBidi"/>
                <w:sz w:val="22"/>
                <w:szCs w:val="22"/>
              </w:rPr>
              <w:t>(c)</w:t>
            </w:r>
          </w:p>
        </w:tc>
        <w:tc>
          <w:tcPr>
            <w:tcW w:w="6619" w:type="dxa"/>
            <w:gridSpan w:val="3"/>
          </w:tcPr>
          <w:p w14:paraId="252B5D28" w14:textId="14D687AB" w:rsidR="00C8197E" w:rsidRPr="00484243" w:rsidRDefault="004B10A0" w:rsidP="000A724E">
            <w:pPr>
              <w:spacing w:line="360" w:lineRule="auto"/>
              <w:jc w:val="both"/>
              <w:rPr>
                <w:rFonts w:asciiTheme="majorBidi" w:hAnsiTheme="majorBidi" w:cstheme="majorBidi"/>
              </w:rPr>
            </w:pPr>
            <w:r w:rsidRPr="004B10A0">
              <w:rPr>
                <w:rFonts w:asciiTheme="majorBidi" w:hAnsiTheme="majorBidi" w:cstheme="majorBidi"/>
              </w:rPr>
              <w:t>Monitor products and services tested in the sandbox, and review and assess the reports submitted to the Authority</w:t>
            </w:r>
            <w:r>
              <w:rPr>
                <w:rFonts w:asciiTheme="majorBidi" w:hAnsiTheme="majorBidi" w:cstheme="majorBidi"/>
              </w:rPr>
              <w:t>;</w:t>
            </w:r>
          </w:p>
        </w:tc>
      </w:tr>
      <w:tr w:rsidR="00C8197E" w14:paraId="53BBCCCE" w14:textId="77777777" w:rsidTr="00D250C6">
        <w:trPr>
          <w:trHeight w:val="884"/>
        </w:trPr>
        <w:tc>
          <w:tcPr>
            <w:tcW w:w="2055" w:type="dxa"/>
          </w:tcPr>
          <w:p w14:paraId="516B1A2F" w14:textId="77777777" w:rsidR="00C8197E" w:rsidRDefault="00C8197E" w:rsidP="00C8197E">
            <w:pPr>
              <w:rPr>
                <w:rFonts w:asciiTheme="majorBidi" w:hAnsiTheme="majorBidi" w:cstheme="majorBidi"/>
                <w:sz w:val="22"/>
                <w:szCs w:val="22"/>
              </w:rPr>
            </w:pPr>
          </w:p>
        </w:tc>
        <w:tc>
          <w:tcPr>
            <w:tcW w:w="627" w:type="dxa"/>
          </w:tcPr>
          <w:p w14:paraId="14D86826" w14:textId="77777777" w:rsidR="00C8197E" w:rsidRDefault="00C8197E" w:rsidP="00C8197E">
            <w:pPr>
              <w:rPr>
                <w:rFonts w:asciiTheme="majorBidi" w:hAnsiTheme="majorBidi" w:cstheme="majorBidi"/>
                <w:sz w:val="22"/>
                <w:szCs w:val="22"/>
              </w:rPr>
            </w:pPr>
          </w:p>
        </w:tc>
        <w:tc>
          <w:tcPr>
            <w:tcW w:w="628" w:type="dxa"/>
          </w:tcPr>
          <w:p w14:paraId="4D2042EF" w14:textId="51DEC344" w:rsidR="00C8197E" w:rsidRDefault="004B10A0" w:rsidP="00C8197E">
            <w:pPr>
              <w:rPr>
                <w:rFonts w:asciiTheme="majorBidi" w:hAnsiTheme="majorBidi" w:cstheme="majorBidi"/>
                <w:sz w:val="22"/>
                <w:szCs w:val="22"/>
              </w:rPr>
            </w:pPr>
            <w:r>
              <w:rPr>
                <w:rFonts w:asciiTheme="majorBidi" w:hAnsiTheme="majorBidi" w:cstheme="majorBidi"/>
                <w:sz w:val="22"/>
                <w:szCs w:val="22"/>
              </w:rPr>
              <w:t>(d)</w:t>
            </w:r>
          </w:p>
        </w:tc>
        <w:tc>
          <w:tcPr>
            <w:tcW w:w="6619" w:type="dxa"/>
            <w:gridSpan w:val="3"/>
          </w:tcPr>
          <w:p w14:paraId="69B4AF73" w14:textId="63C8AC3F" w:rsidR="00C8197E" w:rsidRPr="00484243" w:rsidRDefault="004B10A0" w:rsidP="000A724E">
            <w:pPr>
              <w:spacing w:line="360" w:lineRule="auto"/>
              <w:jc w:val="both"/>
              <w:rPr>
                <w:rFonts w:asciiTheme="majorBidi" w:hAnsiTheme="majorBidi" w:cstheme="majorBidi"/>
              </w:rPr>
            </w:pPr>
            <w:r w:rsidRPr="004B10A0">
              <w:rPr>
                <w:rFonts w:asciiTheme="majorBidi" w:hAnsiTheme="majorBidi" w:cstheme="majorBidi"/>
              </w:rPr>
              <w:t>Oversee the maintenance of security and robustness of products and services in the sandbox;</w:t>
            </w:r>
          </w:p>
        </w:tc>
      </w:tr>
      <w:tr w:rsidR="00C8197E" w14:paraId="043F5318" w14:textId="77777777" w:rsidTr="00D250C6">
        <w:trPr>
          <w:trHeight w:val="884"/>
        </w:trPr>
        <w:tc>
          <w:tcPr>
            <w:tcW w:w="2055" w:type="dxa"/>
          </w:tcPr>
          <w:p w14:paraId="66ACE89B" w14:textId="77777777" w:rsidR="00C8197E" w:rsidRDefault="00C8197E" w:rsidP="00C8197E">
            <w:pPr>
              <w:rPr>
                <w:rFonts w:asciiTheme="majorBidi" w:hAnsiTheme="majorBidi" w:cstheme="majorBidi"/>
                <w:sz w:val="22"/>
                <w:szCs w:val="22"/>
              </w:rPr>
            </w:pPr>
          </w:p>
        </w:tc>
        <w:tc>
          <w:tcPr>
            <w:tcW w:w="627" w:type="dxa"/>
          </w:tcPr>
          <w:p w14:paraId="1264601F" w14:textId="77777777" w:rsidR="00C8197E" w:rsidRDefault="00C8197E" w:rsidP="00C8197E">
            <w:pPr>
              <w:rPr>
                <w:rFonts w:asciiTheme="majorBidi" w:hAnsiTheme="majorBidi" w:cstheme="majorBidi"/>
                <w:sz w:val="22"/>
                <w:szCs w:val="22"/>
              </w:rPr>
            </w:pPr>
          </w:p>
        </w:tc>
        <w:tc>
          <w:tcPr>
            <w:tcW w:w="628" w:type="dxa"/>
          </w:tcPr>
          <w:p w14:paraId="2FC848A0" w14:textId="776BB161" w:rsidR="00C8197E" w:rsidRDefault="004B10A0" w:rsidP="00C8197E">
            <w:pPr>
              <w:rPr>
                <w:rFonts w:asciiTheme="majorBidi" w:hAnsiTheme="majorBidi" w:cstheme="majorBidi"/>
                <w:sz w:val="22"/>
                <w:szCs w:val="22"/>
              </w:rPr>
            </w:pPr>
            <w:r>
              <w:rPr>
                <w:rFonts w:asciiTheme="majorBidi" w:hAnsiTheme="majorBidi" w:cstheme="majorBidi"/>
                <w:sz w:val="22"/>
                <w:szCs w:val="22"/>
              </w:rPr>
              <w:t>(e)</w:t>
            </w:r>
          </w:p>
        </w:tc>
        <w:tc>
          <w:tcPr>
            <w:tcW w:w="6619" w:type="dxa"/>
            <w:gridSpan w:val="3"/>
          </w:tcPr>
          <w:p w14:paraId="3196E0EB" w14:textId="13C4056C" w:rsidR="00C8197E" w:rsidRPr="00484243" w:rsidRDefault="00DF42FC" w:rsidP="000A724E">
            <w:pPr>
              <w:spacing w:line="360" w:lineRule="auto"/>
              <w:jc w:val="both"/>
              <w:rPr>
                <w:rFonts w:asciiTheme="majorBidi" w:hAnsiTheme="majorBidi" w:cstheme="majorBidi"/>
              </w:rPr>
            </w:pPr>
            <w:r w:rsidRPr="00DF42FC">
              <w:rPr>
                <w:rFonts w:asciiTheme="majorBidi" w:hAnsiTheme="majorBidi" w:cstheme="majorBidi"/>
              </w:rPr>
              <w:t>Based on the quality and outcomes of a product or service in the sandbox, determine whether it is ready to exit and be introduced to the market, or, if found not ready or inadequate, inform the applicant of the reasons therefor.</w:t>
            </w:r>
            <w:r>
              <w:rPr>
                <w:rFonts w:asciiTheme="majorBidi" w:hAnsiTheme="majorBidi" w:cstheme="majorBidi"/>
              </w:rPr>
              <w:t xml:space="preserve"> </w:t>
            </w:r>
          </w:p>
        </w:tc>
      </w:tr>
      <w:tr w:rsidR="000F6878" w14:paraId="5B5A5B9B" w14:textId="77777777" w:rsidTr="006A738F">
        <w:trPr>
          <w:trHeight w:val="884"/>
        </w:trPr>
        <w:tc>
          <w:tcPr>
            <w:tcW w:w="9929" w:type="dxa"/>
            <w:gridSpan w:val="6"/>
          </w:tcPr>
          <w:p w14:paraId="474C669E" w14:textId="77777777" w:rsidR="000F6878" w:rsidRDefault="000F6878" w:rsidP="00C8197E">
            <w:pPr>
              <w:rPr>
                <w:rFonts w:asciiTheme="majorBidi" w:hAnsiTheme="majorBidi" w:cstheme="majorBidi"/>
              </w:rPr>
            </w:pPr>
          </w:p>
          <w:p w14:paraId="2D670E6D" w14:textId="77777777" w:rsidR="000F6878" w:rsidRPr="000F6878" w:rsidRDefault="000F6878" w:rsidP="000F6878">
            <w:pPr>
              <w:jc w:val="center"/>
              <w:rPr>
                <w:rFonts w:asciiTheme="majorBidi" w:hAnsiTheme="majorBidi" w:cstheme="majorBidi"/>
                <w:b/>
                <w:bCs/>
              </w:rPr>
            </w:pPr>
            <w:r w:rsidRPr="000F6878">
              <w:rPr>
                <w:rFonts w:asciiTheme="majorBidi" w:hAnsiTheme="majorBidi" w:cstheme="majorBidi"/>
                <w:b/>
                <w:bCs/>
              </w:rPr>
              <w:t>Chapter 5</w:t>
            </w:r>
          </w:p>
          <w:p w14:paraId="03207873" w14:textId="77777777" w:rsidR="000F6878" w:rsidRPr="000F6878" w:rsidRDefault="000F6878" w:rsidP="000F6878">
            <w:pPr>
              <w:jc w:val="center"/>
              <w:rPr>
                <w:rFonts w:asciiTheme="majorBidi" w:hAnsiTheme="majorBidi" w:cstheme="majorBidi"/>
                <w:b/>
                <w:bCs/>
              </w:rPr>
            </w:pPr>
          </w:p>
          <w:p w14:paraId="0856257F" w14:textId="3907F5F2" w:rsidR="000F6878" w:rsidRPr="000F6878" w:rsidRDefault="000F6878" w:rsidP="000F6878">
            <w:pPr>
              <w:jc w:val="center"/>
              <w:rPr>
                <w:rFonts w:asciiTheme="majorBidi" w:hAnsiTheme="majorBidi" w:cstheme="majorBidi"/>
                <w:b/>
                <w:bCs/>
              </w:rPr>
            </w:pPr>
            <w:r w:rsidRPr="000F6878">
              <w:rPr>
                <w:rFonts w:asciiTheme="majorBidi" w:hAnsiTheme="majorBidi" w:cstheme="majorBidi"/>
                <w:b/>
                <w:bCs/>
                <w:lang w:val="en"/>
              </w:rPr>
              <w:t xml:space="preserve">Reports to be </w:t>
            </w:r>
            <w:r>
              <w:rPr>
                <w:rFonts w:asciiTheme="majorBidi" w:hAnsiTheme="majorBidi" w:cstheme="majorBidi"/>
                <w:b/>
                <w:bCs/>
                <w:lang w:val="en"/>
              </w:rPr>
              <w:t>S</w:t>
            </w:r>
            <w:r w:rsidRPr="000F6878">
              <w:rPr>
                <w:rFonts w:asciiTheme="majorBidi" w:hAnsiTheme="majorBidi" w:cstheme="majorBidi"/>
                <w:b/>
                <w:bCs/>
                <w:lang w:val="en"/>
              </w:rPr>
              <w:t xml:space="preserve">ubmitted by </w:t>
            </w:r>
            <w:r>
              <w:rPr>
                <w:rFonts w:asciiTheme="majorBidi" w:hAnsiTheme="majorBidi" w:cstheme="majorBidi"/>
                <w:b/>
                <w:bCs/>
                <w:lang w:val="en"/>
              </w:rPr>
              <w:t>S</w:t>
            </w:r>
            <w:r w:rsidRPr="000F6878">
              <w:rPr>
                <w:rFonts w:asciiTheme="majorBidi" w:hAnsiTheme="majorBidi" w:cstheme="majorBidi"/>
                <w:b/>
                <w:bCs/>
                <w:lang w:val="en"/>
              </w:rPr>
              <w:t xml:space="preserve">andbox </w:t>
            </w:r>
            <w:r>
              <w:rPr>
                <w:rFonts w:asciiTheme="majorBidi" w:hAnsiTheme="majorBidi" w:cstheme="majorBidi"/>
                <w:b/>
                <w:bCs/>
                <w:lang w:val="en"/>
              </w:rPr>
              <w:t>P</w:t>
            </w:r>
            <w:r w:rsidRPr="000F6878">
              <w:rPr>
                <w:rFonts w:asciiTheme="majorBidi" w:hAnsiTheme="majorBidi" w:cstheme="majorBidi"/>
                <w:b/>
                <w:bCs/>
                <w:lang w:val="en"/>
              </w:rPr>
              <w:t>articipants</w:t>
            </w:r>
          </w:p>
          <w:p w14:paraId="07DA4374" w14:textId="7CF12989" w:rsidR="000F6878" w:rsidRPr="00484243" w:rsidRDefault="000F6878" w:rsidP="000F6878">
            <w:pPr>
              <w:jc w:val="center"/>
              <w:rPr>
                <w:rFonts w:asciiTheme="majorBidi" w:hAnsiTheme="majorBidi" w:cstheme="majorBidi"/>
              </w:rPr>
            </w:pPr>
          </w:p>
        </w:tc>
      </w:tr>
      <w:tr w:rsidR="000F6878" w14:paraId="168D3785" w14:textId="77777777" w:rsidTr="005B2999">
        <w:trPr>
          <w:trHeight w:val="884"/>
        </w:trPr>
        <w:tc>
          <w:tcPr>
            <w:tcW w:w="2055" w:type="dxa"/>
          </w:tcPr>
          <w:p w14:paraId="3479386E" w14:textId="5BB0456A" w:rsidR="000F6878" w:rsidRDefault="000F6878" w:rsidP="00C8197E">
            <w:pPr>
              <w:rPr>
                <w:rFonts w:asciiTheme="majorBidi" w:hAnsiTheme="majorBidi" w:cstheme="majorBidi"/>
                <w:sz w:val="22"/>
                <w:szCs w:val="22"/>
              </w:rPr>
            </w:pPr>
            <w:r>
              <w:rPr>
                <w:rFonts w:asciiTheme="majorBidi" w:hAnsiTheme="majorBidi" w:cstheme="majorBidi"/>
                <w:sz w:val="22"/>
                <w:szCs w:val="22"/>
              </w:rPr>
              <w:t>Progress reports</w:t>
            </w:r>
          </w:p>
        </w:tc>
        <w:tc>
          <w:tcPr>
            <w:tcW w:w="627" w:type="dxa"/>
          </w:tcPr>
          <w:p w14:paraId="297695C0" w14:textId="6B697A28" w:rsidR="000F6878" w:rsidRDefault="000F6878" w:rsidP="00C8197E">
            <w:pPr>
              <w:rPr>
                <w:rFonts w:asciiTheme="majorBidi" w:hAnsiTheme="majorBidi" w:cstheme="majorBidi"/>
                <w:sz w:val="22"/>
                <w:szCs w:val="22"/>
              </w:rPr>
            </w:pPr>
            <w:r>
              <w:rPr>
                <w:rFonts w:asciiTheme="majorBidi" w:hAnsiTheme="majorBidi" w:cstheme="majorBidi"/>
                <w:sz w:val="22"/>
                <w:szCs w:val="22"/>
              </w:rPr>
              <w:t>9.</w:t>
            </w:r>
          </w:p>
        </w:tc>
        <w:tc>
          <w:tcPr>
            <w:tcW w:w="7247" w:type="dxa"/>
            <w:gridSpan w:val="4"/>
          </w:tcPr>
          <w:p w14:paraId="68FB94ED" w14:textId="4AD0937C" w:rsidR="000F6878" w:rsidRPr="00484243" w:rsidRDefault="000F6878" w:rsidP="000A724E">
            <w:pPr>
              <w:spacing w:line="360" w:lineRule="auto"/>
              <w:jc w:val="both"/>
              <w:rPr>
                <w:rFonts w:asciiTheme="majorBidi" w:hAnsiTheme="majorBidi" w:cstheme="majorBidi"/>
              </w:rPr>
            </w:pPr>
            <w:r w:rsidRPr="000F6878">
              <w:rPr>
                <w:rFonts w:asciiTheme="majorBidi" w:hAnsiTheme="majorBidi" w:cstheme="majorBidi"/>
                <w:lang w:val="en"/>
              </w:rPr>
              <w:t>During the testing period, sandbox participants must submit a monthly report that includes the following:</w:t>
            </w:r>
          </w:p>
        </w:tc>
      </w:tr>
      <w:tr w:rsidR="00C8197E" w14:paraId="571BE552" w14:textId="77777777" w:rsidTr="00D250C6">
        <w:trPr>
          <w:trHeight w:val="884"/>
        </w:trPr>
        <w:tc>
          <w:tcPr>
            <w:tcW w:w="2055" w:type="dxa"/>
          </w:tcPr>
          <w:p w14:paraId="4297A09D" w14:textId="77777777" w:rsidR="00C8197E" w:rsidRDefault="00C8197E" w:rsidP="00C8197E">
            <w:pPr>
              <w:rPr>
                <w:rFonts w:asciiTheme="majorBidi" w:hAnsiTheme="majorBidi" w:cstheme="majorBidi"/>
                <w:sz w:val="22"/>
                <w:szCs w:val="22"/>
              </w:rPr>
            </w:pPr>
          </w:p>
        </w:tc>
        <w:tc>
          <w:tcPr>
            <w:tcW w:w="627" w:type="dxa"/>
          </w:tcPr>
          <w:p w14:paraId="4DF982D2" w14:textId="77777777" w:rsidR="00C8197E" w:rsidRDefault="00C8197E" w:rsidP="00C8197E">
            <w:pPr>
              <w:rPr>
                <w:rFonts w:asciiTheme="majorBidi" w:hAnsiTheme="majorBidi" w:cstheme="majorBidi"/>
                <w:sz w:val="22"/>
                <w:szCs w:val="22"/>
              </w:rPr>
            </w:pPr>
          </w:p>
        </w:tc>
        <w:tc>
          <w:tcPr>
            <w:tcW w:w="628" w:type="dxa"/>
          </w:tcPr>
          <w:p w14:paraId="781C9FAE" w14:textId="02D56110" w:rsidR="00C8197E" w:rsidRDefault="000F6878" w:rsidP="00C8197E">
            <w:pPr>
              <w:rPr>
                <w:rFonts w:asciiTheme="majorBidi" w:hAnsiTheme="majorBidi" w:cstheme="majorBidi"/>
                <w:sz w:val="22"/>
                <w:szCs w:val="22"/>
              </w:rPr>
            </w:pPr>
            <w:r>
              <w:rPr>
                <w:rFonts w:asciiTheme="majorBidi" w:hAnsiTheme="majorBidi" w:cstheme="majorBidi"/>
                <w:sz w:val="22"/>
                <w:szCs w:val="22"/>
              </w:rPr>
              <w:t>(a)</w:t>
            </w:r>
          </w:p>
        </w:tc>
        <w:tc>
          <w:tcPr>
            <w:tcW w:w="6619" w:type="dxa"/>
            <w:gridSpan w:val="3"/>
          </w:tcPr>
          <w:p w14:paraId="7D26DDE7" w14:textId="4D21F6E1" w:rsidR="00C8197E" w:rsidRPr="00484243" w:rsidRDefault="000F6878" w:rsidP="000A724E">
            <w:pPr>
              <w:spacing w:line="360" w:lineRule="auto"/>
              <w:jc w:val="both"/>
              <w:rPr>
                <w:rFonts w:asciiTheme="majorBidi" w:hAnsiTheme="majorBidi" w:cstheme="majorBidi"/>
              </w:rPr>
            </w:pPr>
            <w:r w:rsidRPr="000F6878">
              <w:rPr>
                <w:rFonts w:asciiTheme="majorBidi" w:hAnsiTheme="majorBidi" w:cstheme="majorBidi"/>
              </w:rPr>
              <w:t>Improvements achieved against key performance indicators (KPIs);</w:t>
            </w:r>
          </w:p>
        </w:tc>
      </w:tr>
      <w:tr w:rsidR="00C8197E" w14:paraId="33084252" w14:textId="77777777" w:rsidTr="00D250C6">
        <w:trPr>
          <w:trHeight w:val="884"/>
        </w:trPr>
        <w:tc>
          <w:tcPr>
            <w:tcW w:w="2055" w:type="dxa"/>
          </w:tcPr>
          <w:p w14:paraId="6439651C" w14:textId="77777777" w:rsidR="00C8197E" w:rsidRDefault="00C8197E" w:rsidP="00C8197E">
            <w:pPr>
              <w:rPr>
                <w:rFonts w:asciiTheme="majorBidi" w:hAnsiTheme="majorBidi" w:cstheme="majorBidi"/>
                <w:sz w:val="22"/>
                <w:szCs w:val="22"/>
              </w:rPr>
            </w:pPr>
          </w:p>
        </w:tc>
        <w:tc>
          <w:tcPr>
            <w:tcW w:w="627" w:type="dxa"/>
          </w:tcPr>
          <w:p w14:paraId="08E8D9B6" w14:textId="77777777" w:rsidR="00C8197E" w:rsidRDefault="00C8197E" w:rsidP="00C8197E">
            <w:pPr>
              <w:rPr>
                <w:rFonts w:asciiTheme="majorBidi" w:hAnsiTheme="majorBidi" w:cstheme="majorBidi"/>
                <w:sz w:val="22"/>
                <w:szCs w:val="22"/>
              </w:rPr>
            </w:pPr>
          </w:p>
        </w:tc>
        <w:tc>
          <w:tcPr>
            <w:tcW w:w="628" w:type="dxa"/>
          </w:tcPr>
          <w:p w14:paraId="67F4DC3A" w14:textId="52C85B2C" w:rsidR="00C8197E" w:rsidRDefault="000F6878" w:rsidP="00C8197E">
            <w:pPr>
              <w:rPr>
                <w:rFonts w:asciiTheme="majorBidi" w:hAnsiTheme="majorBidi" w:cstheme="majorBidi"/>
                <w:sz w:val="22"/>
                <w:szCs w:val="22"/>
              </w:rPr>
            </w:pPr>
            <w:r>
              <w:rPr>
                <w:rFonts w:asciiTheme="majorBidi" w:hAnsiTheme="majorBidi" w:cstheme="majorBidi"/>
                <w:sz w:val="22"/>
                <w:szCs w:val="22"/>
              </w:rPr>
              <w:t>(b)</w:t>
            </w:r>
          </w:p>
        </w:tc>
        <w:tc>
          <w:tcPr>
            <w:tcW w:w="6619" w:type="dxa"/>
            <w:gridSpan w:val="3"/>
          </w:tcPr>
          <w:p w14:paraId="37B1975B" w14:textId="48E6CA57" w:rsidR="00C8197E" w:rsidRPr="00484243" w:rsidRDefault="000F6878" w:rsidP="000A724E">
            <w:pPr>
              <w:spacing w:line="360" w:lineRule="auto"/>
              <w:jc w:val="both"/>
              <w:rPr>
                <w:rFonts w:asciiTheme="majorBidi" w:hAnsiTheme="majorBidi" w:cstheme="majorBidi"/>
              </w:rPr>
            </w:pPr>
            <w:r w:rsidRPr="000F6878">
              <w:rPr>
                <w:rFonts w:asciiTheme="majorBidi" w:hAnsiTheme="majorBidi" w:cstheme="majorBidi"/>
              </w:rPr>
              <w:t>Details of any incidents that occurred and the corrective actions taken;</w:t>
            </w:r>
          </w:p>
        </w:tc>
      </w:tr>
      <w:tr w:rsidR="000F6878" w14:paraId="0C769928" w14:textId="77777777" w:rsidTr="00D250C6">
        <w:trPr>
          <w:trHeight w:val="884"/>
        </w:trPr>
        <w:tc>
          <w:tcPr>
            <w:tcW w:w="2055" w:type="dxa"/>
          </w:tcPr>
          <w:p w14:paraId="49F688E5" w14:textId="77777777" w:rsidR="000F6878" w:rsidRDefault="000F6878" w:rsidP="00C8197E">
            <w:pPr>
              <w:rPr>
                <w:rFonts w:asciiTheme="majorBidi" w:hAnsiTheme="majorBidi" w:cstheme="majorBidi"/>
                <w:sz w:val="22"/>
                <w:szCs w:val="22"/>
              </w:rPr>
            </w:pPr>
          </w:p>
        </w:tc>
        <w:tc>
          <w:tcPr>
            <w:tcW w:w="627" w:type="dxa"/>
          </w:tcPr>
          <w:p w14:paraId="11EE985A" w14:textId="77777777" w:rsidR="000F6878" w:rsidRDefault="000F6878" w:rsidP="00C8197E">
            <w:pPr>
              <w:rPr>
                <w:rFonts w:asciiTheme="majorBidi" w:hAnsiTheme="majorBidi" w:cstheme="majorBidi"/>
                <w:sz w:val="22"/>
                <w:szCs w:val="22"/>
              </w:rPr>
            </w:pPr>
          </w:p>
        </w:tc>
        <w:tc>
          <w:tcPr>
            <w:tcW w:w="628" w:type="dxa"/>
          </w:tcPr>
          <w:p w14:paraId="09578266" w14:textId="5BD313D8" w:rsidR="000F6878" w:rsidRDefault="000F6878" w:rsidP="00C8197E">
            <w:pPr>
              <w:rPr>
                <w:rFonts w:asciiTheme="majorBidi" w:hAnsiTheme="majorBidi" w:cstheme="majorBidi"/>
                <w:sz w:val="22"/>
                <w:szCs w:val="22"/>
              </w:rPr>
            </w:pPr>
            <w:r>
              <w:rPr>
                <w:rFonts w:asciiTheme="majorBidi" w:hAnsiTheme="majorBidi" w:cstheme="majorBidi"/>
                <w:sz w:val="22"/>
                <w:szCs w:val="22"/>
              </w:rPr>
              <w:t>(c)</w:t>
            </w:r>
          </w:p>
        </w:tc>
        <w:tc>
          <w:tcPr>
            <w:tcW w:w="6619" w:type="dxa"/>
            <w:gridSpan w:val="3"/>
          </w:tcPr>
          <w:p w14:paraId="7D324464" w14:textId="628160D2" w:rsidR="000F6878" w:rsidRPr="00484243" w:rsidRDefault="000F6878" w:rsidP="000A724E">
            <w:pPr>
              <w:spacing w:line="360" w:lineRule="auto"/>
              <w:jc w:val="both"/>
              <w:rPr>
                <w:rFonts w:asciiTheme="majorBidi" w:hAnsiTheme="majorBidi" w:cstheme="majorBidi"/>
              </w:rPr>
            </w:pPr>
            <w:r w:rsidRPr="000F6878">
              <w:rPr>
                <w:rFonts w:asciiTheme="majorBidi" w:hAnsiTheme="majorBidi" w:cstheme="majorBidi"/>
              </w:rPr>
              <w:t>Feedback or opinions of service users</w:t>
            </w:r>
            <w:r>
              <w:rPr>
                <w:rFonts w:asciiTheme="majorBidi" w:hAnsiTheme="majorBidi" w:cstheme="majorBidi"/>
              </w:rPr>
              <w:t>;</w:t>
            </w:r>
          </w:p>
        </w:tc>
      </w:tr>
      <w:tr w:rsidR="000F6878" w14:paraId="5F508F78" w14:textId="77777777" w:rsidTr="00D250C6">
        <w:trPr>
          <w:trHeight w:val="884"/>
        </w:trPr>
        <w:tc>
          <w:tcPr>
            <w:tcW w:w="2055" w:type="dxa"/>
          </w:tcPr>
          <w:p w14:paraId="3CDE4B81" w14:textId="77777777" w:rsidR="000F6878" w:rsidRDefault="000F6878" w:rsidP="00C8197E">
            <w:pPr>
              <w:rPr>
                <w:rFonts w:asciiTheme="majorBidi" w:hAnsiTheme="majorBidi" w:cstheme="majorBidi"/>
                <w:sz w:val="22"/>
                <w:szCs w:val="22"/>
              </w:rPr>
            </w:pPr>
          </w:p>
        </w:tc>
        <w:tc>
          <w:tcPr>
            <w:tcW w:w="627" w:type="dxa"/>
          </w:tcPr>
          <w:p w14:paraId="370361A4" w14:textId="77777777" w:rsidR="000F6878" w:rsidRDefault="000F6878" w:rsidP="00C8197E">
            <w:pPr>
              <w:rPr>
                <w:rFonts w:asciiTheme="majorBidi" w:hAnsiTheme="majorBidi" w:cstheme="majorBidi"/>
                <w:sz w:val="22"/>
                <w:szCs w:val="22"/>
              </w:rPr>
            </w:pPr>
          </w:p>
        </w:tc>
        <w:tc>
          <w:tcPr>
            <w:tcW w:w="628" w:type="dxa"/>
          </w:tcPr>
          <w:p w14:paraId="17C598E3" w14:textId="7A6E15B4" w:rsidR="000F6878" w:rsidRDefault="000F6878" w:rsidP="00C8197E">
            <w:pPr>
              <w:rPr>
                <w:rFonts w:asciiTheme="majorBidi" w:hAnsiTheme="majorBidi" w:cstheme="majorBidi"/>
                <w:sz w:val="22"/>
                <w:szCs w:val="22"/>
              </w:rPr>
            </w:pPr>
            <w:r>
              <w:rPr>
                <w:rFonts w:asciiTheme="majorBidi" w:hAnsiTheme="majorBidi" w:cstheme="majorBidi"/>
                <w:sz w:val="22"/>
                <w:szCs w:val="22"/>
              </w:rPr>
              <w:t>(d)</w:t>
            </w:r>
          </w:p>
        </w:tc>
        <w:tc>
          <w:tcPr>
            <w:tcW w:w="6619" w:type="dxa"/>
            <w:gridSpan w:val="3"/>
          </w:tcPr>
          <w:p w14:paraId="1286FACF" w14:textId="2D49141F" w:rsidR="000F6878" w:rsidRPr="00484243" w:rsidRDefault="000F6878" w:rsidP="000A724E">
            <w:pPr>
              <w:spacing w:line="360" w:lineRule="auto"/>
              <w:jc w:val="both"/>
              <w:rPr>
                <w:rFonts w:asciiTheme="majorBidi" w:hAnsiTheme="majorBidi" w:cstheme="majorBidi"/>
              </w:rPr>
            </w:pPr>
            <w:r w:rsidRPr="000F6878">
              <w:rPr>
                <w:rFonts w:asciiTheme="majorBidi" w:hAnsiTheme="majorBidi" w:cstheme="majorBidi"/>
              </w:rPr>
              <w:t>Any changes necessary to expand, amend, or terminate the testing process, differing from those previously submitted</w:t>
            </w:r>
            <w:r>
              <w:rPr>
                <w:rFonts w:asciiTheme="majorBidi" w:hAnsiTheme="majorBidi" w:cstheme="majorBidi"/>
              </w:rPr>
              <w:t>.</w:t>
            </w:r>
          </w:p>
        </w:tc>
      </w:tr>
      <w:tr w:rsidR="00C7072A" w14:paraId="28563B38" w14:textId="77777777" w:rsidTr="00FA48E4">
        <w:trPr>
          <w:trHeight w:val="884"/>
        </w:trPr>
        <w:tc>
          <w:tcPr>
            <w:tcW w:w="2055" w:type="dxa"/>
          </w:tcPr>
          <w:p w14:paraId="77A59153" w14:textId="51278A46" w:rsidR="00C7072A" w:rsidRDefault="00C7072A" w:rsidP="00C8197E">
            <w:pPr>
              <w:rPr>
                <w:rFonts w:asciiTheme="majorBidi" w:hAnsiTheme="majorBidi" w:cstheme="majorBidi"/>
                <w:sz w:val="22"/>
                <w:szCs w:val="22"/>
              </w:rPr>
            </w:pPr>
            <w:r>
              <w:rPr>
                <w:rFonts w:asciiTheme="majorBidi" w:hAnsiTheme="majorBidi" w:cstheme="majorBidi"/>
                <w:sz w:val="22"/>
                <w:szCs w:val="22"/>
              </w:rPr>
              <w:t>Incident report</w:t>
            </w:r>
          </w:p>
        </w:tc>
        <w:tc>
          <w:tcPr>
            <w:tcW w:w="627" w:type="dxa"/>
          </w:tcPr>
          <w:p w14:paraId="25C52167" w14:textId="67E6FED8" w:rsidR="00C7072A" w:rsidRDefault="00C7072A" w:rsidP="00C8197E">
            <w:pPr>
              <w:rPr>
                <w:rFonts w:asciiTheme="majorBidi" w:hAnsiTheme="majorBidi" w:cstheme="majorBidi"/>
                <w:sz w:val="22"/>
                <w:szCs w:val="22"/>
              </w:rPr>
            </w:pPr>
            <w:r>
              <w:rPr>
                <w:rFonts w:asciiTheme="majorBidi" w:hAnsiTheme="majorBidi" w:cstheme="majorBidi"/>
                <w:sz w:val="22"/>
                <w:szCs w:val="22"/>
              </w:rPr>
              <w:t>10.</w:t>
            </w:r>
          </w:p>
        </w:tc>
        <w:tc>
          <w:tcPr>
            <w:tcW w:w="7247" w:type="dxa"/>
            <w:gridSpan w:val="4"/>
          </w:tcPr>
          <w:p w14:paraId="7506FE49" w14:textId="5741B99F" w:rsidR="00C7072A" w:rsidRPr="00484243" w:rsidRDefault="00C7072A" w:rsidP="000A724E">
            <w:pPr>
              <w:spacing w:line="360" w:lineRule="auto"/>
              <w:jc w:val="both"/>
              <w:rPr>
                <w:rFonts w:asciiTheme="majorBidi" w:hAnsiTheme="majorBidi" w:cstheme="majorBidi"/>
              </w:rPr>
            </w:pPr>
            <w:r w:rsidRPr="00C7072A">
              <w:rPr>
                <w:rFonts w:asciiTheme="majorBidi" w:hAnsiTheme="majorBidi" w:cstheme="majorBidi"/>
              </w:rPr>
              <w:t>During the testing period, the Authority shall be promptly informed of any event or circumstance believed to materially affect or compromise the proposed project</w:t>
            </w:r>
            <w:r>
              <w:rPr>
                <w:rFonts w:asciiTheme="majorBidi" w:hAnsiTheme="majorBidi" w:cstheme="majorBidi"/>
              </w:rPr>
              <w:t>.</w:t>
            </w:r>
          </w:p>
        </w:tc>
      </w:tr>
      <w:tr w:rsidR="00C7072A" w14:paraId="417D2F7A" w14:textId="77777777" w:rsidTr="00FA48E4">
        <w:trPr>
          <w:trHeight w:val="884"/>
        </w:trPr>
        <w:tc>
          <w:tcPr>
            <w:tcW w:w="2055" w:type="dxa"/>
          </w:tcPr>
          <w:p w14:paraId="72AB5FBE" w14:textId="1F7E3337" w:rsidR="00C7072A" w:rsidRDefault="00C7072A" w:rsidP="00C8197E">
            <w:pPr>
              <w:rPr>
                <w:rFonts w:asciiTheme="majorBidi" w:hAnsiTheme="majorBidi" w:cstheme="majorBidi"/>
                <w:sz w:val="22"/>
                <w:szCs w:val="22"/>
              </w:rPr>
            </w:pPr>
            <w:r>
              <w:rPr>
                <w:rFonts w:asciiTheme="majorBidi" w:hAnsiTheme="majorBidi" w:cstheme="majorBidi"/>
                <w:sz w:val="22"/>
                <w:szCs w:val="22"/>
              </w:rPr>
              <w:t>Final report</w:t>
            </w:r>
          </w:p>
        </w:tc>
        <w:tc>
          <w:tcPr>
            <w:tcW w:w="627" w:type="dxa"/>
          </w:tcPr>
          <w:p w14:paraId="3384E2D3" w14:textId="13F4FB91" w:rsidR="00C7072A" w:rsidRDefault="00C7072A" w:rsidP="00C8197E">
            <w:pPr>
              <w:rPr>
                <w:rFonts w:asciiTheme="majorBidi" w:hAnsiTheme="majorBidi" w:cstheme="majorBidi"/>
                <w:sz w:val="22"/>
                <w:szCs w:val="22"/>
              </w:rPr>
            </w:pPr>
            <w:r>
              <w:rPr>
                <w:rFonts w:asciiTheme="majorBidi" w:hAnsiTheme="majorBidi" w:cstheme="majorBidi"/>
                <w:sz w:val="22"/>
                <w:szCs w:val="22"/>
              </w:rPr>
              <w:t>11.</w:t>
            </w:r>
          </w:p>
        </w:tc>
        <w:tc>
          <w:tcPr>
            <w:tcW w:w="7247" w:type="dxa"/>
            <w:gridSpan w:val="4"/>
          </w:tcPr>
          <w:p w14:paraId="0BFE9A96" w14:textId="05584380" w:rsidR="00C7072A" w:rsidRPr="00484243" w:rsidRDefault="00C7072A" w:rsidP="000A724E">
            <w:pPr>
              <w:spacing w:line="360" w:lineRule="auto"/>
              <w:jc w:val="both"/>
              <w:rPr>
                <w:rFonts w:asciiTheme="majorBidi" w:hAnsiTheme="majorBidi" w:cstheme="majorBidi"/>
              </w:rPr>
            </w:pPr>
            <w:r w:rsidRPr="00C7072A">
              <w:rPr>
                <w:rFonts w:asciiTheme="majorBidi" w:hAnsiTheme="majorBidi" w:cstheme="majorBidi"/>
              </w:rPr>
              <w:t>A final report shall be submitted within thirty (30) days of the conclusion of the sandbox testing period. The report shall include the following sections:</w:t>
            </w:r>
          </w:p>
        </w:tc>
      </w:tr>
      <w:tr w:rsidR="000F6878" w14:paraId="2EB5DFFA" w14:textId="77777777" w:rsidTr="00274DE8">
        <w:trPr>
          <w:trHeight w:val="432"/>
        </w:trPr>
        <w:tc>
          <w:tcPr>
            <w:tcW w:w="2055" w:type="dxa"/>
          </w:tcPr>
          <w:p w14:paraId="0F2AA133" w14:textId="77777777" w:rsidR="000F6878" w:rsidRDefault="000F6878" w:rsidP="00C8197E">
            <w:pPr>
              <w:rPr>
                <w:rFonts w:asciiTheme="majorBidi" w:hAnsiTheme="majorBidi" w:cstheme="majorBidi"/>
                <w:sz w:val="22"/>
                <w:szCs w:val="22"/>
              </w:rPr>
            </w:pPr>
          </w:p>
        </w:tc>
        <w:tc>
          <w:tcPr>
            <w:tcW w:w="627" w:type="dxa"/>
          </w:tcPr>
          <w:p w14:paraId="7176CA6F" w14:textId="77777777" w:rsidR="000F6878" w:rsidRDefault="000F6878" w:rsidP="00C8197E">
            <w:pPr>
              <w:rPr>
                <w:rFonts w:asciiTheme="majorBidi" w:hAnsiTheme="majorBidi" w:cstheme="majorBidi"/>
                <w:sz w:val="22"/>
                <w:szCs w:val="22"/>
              </w:rPr>
            </w:pPr>
          </w:p>
        </w:tc>
        <w:tc>
          <w:tcPr>
            <w:tcW w:w="628" w:type="dxa"/>
          </w:tcPr>
          <w:p w14:paraId="75410B44" w14:textId="7E2B53A5" w:rsidR="000F6878" w:rsidRDefault="00C7072A" w:rsidP="00C8197E">
            <w:pPr>
              <w:rPr>
                <w:rFonts w:asciiTheme="majorBidi" w:hAnsiTheme="majorBidi" w:cstheme="majorBidi"/>
                <w:sz w:val="22"/>
                <w:szCs w:val="22"/>
              </w:rPr>
            </w:pPr>
            <w:r>
              <w:rPr>
                <w:rFonts w:asciiTheme="majorBidi" w:hAnsiTheme="majorBidi" w:cstheme="majorBidi"/>
                <w:sz w:val="22"/>
                <w:szCs w:val="22"/>
              </w:rPr>
              <w:t>(a)</w:t>
            </w:r>
          </w:p>
        </w:tc>
        <w:tc>
          <w:tcPr>
            <w:tcW w:w="6619" w:type="dxa"/>
            <w:gridSpan w:val="3"/>
          </w:tcPr>
          <w:p w14:paraId="5B5A3526" w14:textId="4EE8D517" w:rsidR="000F6878" w:rsidRPr="00484243" w:rsidRDefault="00C7072A" w:rsidP="000A724E">
            <w:pPr>
              <w:spacing w:line="360" w:lineRule="auto"/>
              <w:jc w:val="both"/>
              <w:rPr>
                <w:rFonts w:asciiTheme="majorBidi" w:hAnsiTheme="majorBidi" w:cstheme="majorBidi"/>
              </w:rPr>
            </w:pPr>
            <w:r w:rsidRPr="00C7072A">
              <w:rPr>
                <w:rFonts w:asciiTheme="majorBidi" w:hAnsiTheme="majorBidi" w:cstheme="majorBidi"/>
              </w:rPr>
              <w:t>Details of test results;</w:t>
            </w:r>
          </w:p>
        </w:tc>
      </w:tr>
      <w:tr w:rsidR="000F6878" w14:paraId="122903A0" w14:textId="77777777" w:rsidTr="00274DE8">
        <w:trPr>
          <w:trHeight w:val="432"/>
        </w:trPr>
        <w:tc>
          <w:tcPr>
            <w:tcW w:w="2055" w:type="dxa"/>
          </w:tcPr>
          <w:p w14:paraId="125E4640" w14:textId="77777777" w:rsidR="000F6878" w:rsidRDefault="000F6878" w:rsidP="00C8197E">
            <w:pPr>
              <w:rPr>
                <w:rFonts w:asciiTheme="majorBidi" w:hAnsiTheme="majorBidi" w:cstheme="majorBidi"/>
                <w:sz w:val="22"/>
                <w:szCs w:val="22"/>
              </w:rPr>
            </w:pPr>
          </w:p>
        </w:tc>
        <w:tc>
          <w:tcPr>
            <w:tcW w:w="627" w:type="dxa"/>
          </w:tcPr>
          <w:p w14:paraId="45B9C337" w14:textId="77777777" w:rsidR="000F6878" w:rsidRDefault="000F6878" w:rsidP="00C8197E">
            <w:pPr>
              <w:rPr>
                <w:rFonts w:asciiTheme="majorBidi" w:hAnsiTheme="majorBidi" w:cstheme="majorBidi"/>
                <w:sz w:val="22"/>
                <w:szCs w:val="22"/>
              </w:rPr>
            </w:pPr>
          </w:p>
        </w:tc>
        <w:tc>
          <w:tcPr>
            <w:tcW w:w="628" w:type="dxa"/>
          </w:tcPr>
          <w:p w14:paraId="0282F724" w14:textId="0DC59FCA" w:rsidR="000F6878" w:rsidRDefault="00C7072A" w:rsidP="00C8197E">
            <w:pPr>
              <w:rPr>
                <w:rFonts w:asciiTheme="majorBidi" w:hAnsiTheme="majorBidi" w:cstheme="majorBidi"/>
                <w:sz w:val="22"/>
                <w:szCs w:val="22"/>
              </w:rPr>
            </w:pPr>
            <w:r>
              <w:rPr>
                <w:rFonts w:asciiTheme="majorBidi" w:hAnsiTheme="majorBidi" w:cstheme="majorBidi"/>
                <w:sz w:val="22"/>
                <w:szCs w:val="22"/>
              </w:rPr>
              <w:t>(b)</w:t>
            </w:r>
          </w:p>
        </w:tc>
        <w:tc>
          <w:tcPr>
            <w:tcW w:w="6619" w:type="dxa"/>
            <w:gridSpan w:val="3"/>
          </w:tcPr>
          <w:p w14:paraId="754FD19A" w14:textId="56D10EAA" w:rsidR="000F6878" w:rsidRPr="00484243" w:rsidRDefault="00C7072A" w:rsidP="000A724E">
            <w:pPr>
              <w:spacing w:line="360" w:lineRule="auto"/>
              <w:jc w:val="both"/>
              <w:rPr>
                <w:rFonts w:asciiTheme="majorBidi" w:hAnsiTheme="majorBidi" w:cstheme="majorBidi"/>
              </w:rPr>
            </w:pPr>
            <w:r w:rsidRPr="00C7072A">
              <w:rPr>
                <w:rFonts w:asciiTheme="majorBidi" w:hAnsiTheme="majorBidi" w:cstheme="majorBidi"/>
              </w:rPr>
              <w:t>Results against Key Performance Indicators (KPIs);</w:t>
            </w:r>
          </w:p>
        </w:tc>
      </w:tr>
      <w:tr w:rsidR="000F6878" w14:paraId="06AFAAC0" w14:textId="77777777" w:rsidTr="00274DE8">
        <w:trPr>
          <w:trHeight w:val="432"/>
        </w:trPr>
        <w:tc>
          <w:tcPr>
            <w:tcW w:w="2055" w:type="dxa"/>
          </w:tcPr>
          <w:p w14:paraId="4A7CD349" w14:textId="77777777" w:rsidR="000F6878" w:rsidRDefault="000F6878" w:rsidP="00C8197E">
            <w:pPr>
              <w:rPr>
                <w:rFonts w:asciiTheme="majorBidi" w:hAnsiTheme="majorBidi" w:cstheme="majorBidi"/>
                <w:sz w:val="22"/>
                <w:szCs w:val="22"/>
              </w:rPr>
            </w:pPr>
          </w:p>
        </w:tc>
        <w:tc>
          <w:tcPr>
            <w:tcW w:w="627" w:type="dxa"/>
          </w:tcPr>
          <w:p w14:paraId="31C28045" w14:textId="77777777" w:rsidR="000F6878" w:rsidRDefault="000F6878" w:rsidP="00C8197E">
            <w:pPr>
              <w:rPr>
                <w:rFonts w:asciiTheme="majorBidi" w:hAnsiTheme="majorBidi" w:cstheme="majorBidi"/>
                <w:sz w:val="22"/>
                <w:szCs w:val="22"/>
              </w:rPr>
            </w:pPr>
          </w:p>
        </w:tc>
        <w:tc>
          <w:tcPr>
            <w:tcW w:w="628" w:type="dxa"/>
          </w:tcPr>
          <w:p w14:paraId="0DBFAE5C" w14:textId="13C02490" w:rsidR="000F6878" w:rsidRDefault="00C7072A" w:rsidP="00C8197E">
            <w:pPr>
              <w:rPr>
                <w:rFonts w:asciiTheme="majorBidi" w:hAnsiTheme="majorBidi" w:cstheme="majorBidi"/>
                <w:sz w:val="22"/>
                <w:szCs w:val="22"/>
              </w:rPr>
            </w:pPr>
            <w:r>
              <w:rPr>
                <w:rFonts w:asciiTheme="majorBidi" w:hAnsiTheme="majorBidi" w:cstheme="majorBidi"/>
                <w:sz w:val="22"/>
                <w:szCs w:val="22"/>
              </w:rPr>
              <w:t>(c)</w:t>
            </w:r>
          </w:p>
        </w:tc>
        <w:tc>
          <w:tcPr>
            <w:tcW w:w="6619" w:type="dxa"/>
            <w:gridSpan w:val="3"/>
          </w:tcPr>
          <w:p w14:paraId="0D90CA5B" w14:textId="354A3764" w:rsidR="000F6878" w:rsidRPr="00484243" w:rsidRDefault="00C7072A" w:rsidP="000A724E">
            <w:pPr>
              <w:spacing w:line="360" w:lineRule="auto"/>
              <w:jc w:val="both"/>
              <w:rPr>
                <w:rFonts w:asciiTheme="majorBidi" w:hAnsiTheme="majorBidi" w:cstheme="majorBidi"/>
              </w:rPr>
            </w:pPr>
            <w:r w:rsidRPr="00C7072A">
              <w:rPr>
                <w:rFonts w:asciiTheme="majorBidi" w:hAnsiTheme="majorBidi" w:cstheme="majorBidi"/>
              </w:rPr>
              <w:t>Details of any incidents or risks, and the measures taken to address them</w:t>
            </w:r>
            <w:r>
              <w:rPr>
                <w:rFonts w:asciiTheme="majorBidi" w:hAnsiTheme="majorBidi" w:cstheme="majorBidi"/>
              </w:rPr>
              <w:t>;</w:t>
            </w:r>
          </w:p>
        </w:tc>
      </w:tr>
      <w:tr w:rsidR="000F6878" w14:paraId="5724D018" w14:textId="77777777" w:rsidTr="00274DE8">
        <w:trPr>
          <w:trHeight w:val="530"/>
        </w:trPr>
        <w:tc>
          <w:tcPr>
            <w:tcW w:w="2055" w:type="dxa"/>
          </w:tcPr>
          <w:p w14:paraId="462C510D" w14:textId="77777777" w:rsidR="000F6878" w:rsidRDefault="000F6878" w:rsidP="00C8197E">
            <w:pPr>
              <w:rPr>
                <w:rFonts w:asciiTheme="majorBidi" w:hAnsiTheme="majorBidi" w:cstheme="majorBidi"/>
                <w:sz w:val="22"/>
                <w:szCs w:val="22"/>
              </w:rPr>
            </w:pPr>
          </w:p>
        </w:tc>
        <w:tc>
          <w:tcPr>
            <w:tcW w:w="627" w:type="dxa"/>
          </w:tcPr>
          <w:p w14:paraId="2D2E4135" w14:textId="77777777" w:rsidR="000F6878" w:rsidRDefault="000F6878" w:rsidP="00C8197E">
            <w:pPr>
              <w:rPr>
                <w:rFonts w:asciiTheme="majorBidi" w:hAnsiTheme="majorBidi" w:cstheme="majorBidi"/>
                <w:sz w:val="22"/>
                <w:szCs w:val="22"/>
              </w:rPr>
            </w:pPr>
          </w:p>
        </w:tc>
        <w:tc>
          <w:tcPr>
            <w:tcW w:w="628" w:type="dxa"/>
          </w:tcPr>
          <w:p w14:paraId="62884DCB" w14:textId="0231B0B9" w:rsidR="000F6878" w:rsidRDefault="00C7072A" w:rsidP="00C8197E">
            <w:pPr>
              <w:rPr>
                <w:rFonts w:asciiTheme="majorBidi" w:hAnsiTheme="majorBidi" w:cstheme="majorBidi"/>
                <w:sz w:val="22"/>
                <w:szCs w:val="22"/>
              </w:rPr>
            </w:pPr>
            <w:r>
              <w:rPr>
                <w:rFonts w:asciiTheme="majorBidi" w:hAnsiTheme="majorBidi" w:cstheme="majorBidi"/>
                <w:sz w:val="22"/>
                <w:szCs w:val="22"/>
              </w:rPr>
              <w:t>(d)</w:t>
            </w:r>
          </w:p>
        </w:tc>
        <w:tc>
          <w:tcPr>
            <w:tcW w:w="6619" w:type="dxa"/>
            <w:gridSpan w:val="3"/>
          </w:tcPr>
          <w:p w14:paraId="221D3FC9" w14:textId="4CF05AE6" w:rsidR="000F6878" w:rsidRPr="00484243" w:rsidRDefault="00C7072A" w:rsidP="000A724E">
            <w:pPr>
              <w:spacing w:line="360" w:lineRule="auto"/>
              <w:jc w:val="both"/>
              <w:rPr>
                <w:rFonts w:asciiTheme="majorBidi" w:hAnsiTheme="majorBidi" w:cstheme="majorBidi"/>
              </w:rPr>
            </w:pPr>
            <w:r w:rsidRPr="00C7072A">
              <w:rPr>
                <w:rFonts w:asciiTheme="majorBidi" w:hAnsiTheme="majorBidi" w:cstheme="majorBidi"/>
              </w:rPr>
              <w:t>An assessment of commercial progress;</w:t>
            </w:r>
          </w:p>
        </w:tc>
      </w:tr>
      <w:tr w:rsidR="000F6878" w14:paraId="00C2075F" w14:textId="77777777" w:rsidTr="00274DE8">
        <w:trPr>
          <w:trHeight w:val="629"/>
        </w:trPr>
        <w:tc>
          <w:tcPr>
            <w:tcW w:w="2055" w:type="dxa"/>
          </w:tcPr>
          <w:p w14:paraId="3A500CE6" w14:textId="77777777" w:rsidR="000F6878" w:rsidRDefault="000F6878" w:rsidP="00C8197E">
            <w:pPr>
              <w:rPr>
                <w:rFonts w:asciiTheme="majorBidi" w:hAnsiTheme="majorBidi" w:cstheme="majorBidi"/>
                <w:sz w:val="22"/>
                <w:szCs w:val="22"/>
              </w:rPr>
            </w:pPr>
          </w:p>
        </w:tc>
        <w:tc>
          <w:tcPr>
            <w:tcW w:w="627" w:type="dxa"/>
          </w:tcPr>
          <w:p w14:paraId="2C0BA7C7" w14:textId="77777777" w:rsidR="000F6878" w:rsidRDefault="000F6878" w:rsidP="00C8197E">
            <w:pPr>
              <w:rPr>
                <w:rFonts w:asciiTheme="majorBidi" w:hAnsiTheme="majorBidi" w:cstheme="majorBidi"/>
                <w:sz w:val="22"/>
                <w:szCs w:val="22"/>
              </w:rPr>
            </w:pPr>
          </w:p>
        </w:tc>
        <w:tc>
          <w:tcPr>
            <w:tcW w:w="628" w:type="dxa"/>
          </w:tcPr>
          <w:p w14:paraId="56303710" w14:textId="2728385C" w:rsidR="000F6878" w:rsidRDefault="00C7072A" w:rsidP="00C8197E">
            <w:pPr>
              <w:rPr>
                <w:rFonts w:asciiTheme="majorBidi" w:hAnsiTheme="majorBidi" w:cstheme="majorBidi"/>
                <w:sz w:val="22"/>
                <w:szCs w:val="22"/>
              </w:rPr>
            </w:pPr>
            <w:r>
              <w:rPr>
                <w:rFonts w:asciiTheme="majorBidi" w:hAnsiTheme="majorBidi" w:cstheme="majorBidi"/>
                <w:sz w:val="22"/>
                <w:szCs w:val="22"/>
              </w:rPr>
              <w:t>(e)</w:t>
            </w:r>
          </w:p>
        </w:tc>
        <w:tc>
          <w:tcPr>
            <w:tcW w:w="6619" w:type="dxa"/>
            <w:gridSpan w:val="3"/>
          </w:tcPr>
          <w:p w14:paraId="12BD3C61" w14:textId="038D7A9B" w:rsidR="000F6878" w:rsidRPr="00484243" w:rsidRDefault="00C7072A" w:rsidP="000A724E">
            <w:pPr>
              <w:spacing w:line="360" w:lineRule="auto"/>
              <w:jc w:val="both"/>
              <w:rPr>
                <w:rFonts w:asciiTheme="majorBidi" w:hAnsiTheme="majorBidi" w:cstheme="majorBidi"/>
              </w:rPr>
            </w:pPr>
            <w:r w:rsidRPr="00C7072A">
              <w:rPr>
                <w:rFonts w:asciiTheme="majorBidi" w:hAnsiTheme="majorBidi" w:cstheme="majorBidi"/>
              </w:rPr>
              <w:t xml:space="preserve">Plans for exit from the sandbox </w:t>
            </w:r>
            <w:r>
              <w:rPr>
                <w:rFonts w:asciiTheme="majorBidi" w:hAnsiTheme="majorBidi" w:cstheme="majorBidi"/>
              </w:rPr>
              <w:t>and</w:t>
            </w:r>
            <w:r w:rsidRPr="00C7072A">
              <w:rPr>
                <w:rFonts w:asciiTheme="majorBidi" w:hAnsiTheme="majorBidi" w:cstheme="majorBidi"/>
              </w:rPr>
              <w:t xml:space="preserve"> introduction to the market.</w:t>
            </w:r>
          </w:p>
        </w:tc>
      </w:tr>
      <w:tr w:rsidR="000F6878" w14:paraId="7ACE3FD2" w14:textId="77777777" w:rsidTr="00D250C6">
        <w:trPr>
          <w:trHeight w:val="884"/>
        </w:trPr>
        <w:tc>
          <w:tcPr>
            <w:tcW w:w="2055" w:type="dxa"/>
          </w:tcPr>
          <w:p w14:paraId="2EA1687B" w14:textId="77777777" w:rsidR="000F6878" w:rsidRDefault="000F6878" w:rsidP="00C8197E">
            <w:pPr>
              <w:rPr>
                <w:rFonts w:asciiTheme="majorBidi" w:hAnsiTheme="majorBidi" w:cstheme="majorBidi"/>
                <w:sz w:val="22"/>
                <w:szCs w:val="22"/>
              </w:rPr>
            </w:pPr>
          </w:p>
        </w:tc>
        <w:tc>
          <w:tcPr>
            <w:tcW w:w="627" w:type="dxa"/>
          </w:tcPr>
          <w:p w14:paraId="01320D88" w14:textId="77777777" w:rsidR="000F6878" w:rsidRDefault="000F6878" w:rsidP="00C8197E">
            <w:pPr>
              <w:rPr>
                <w:rFonts w:asciiTheme="majorBidi" w:hAnsiTheme="majorBidi" w:cstheme="majorBidi"/>
                <w:sz w:val="22"/>
                <w:szCs w:val="22"/>
              </w:rPr>
            </w:pPr>
          </w:p>
        </w:tc>
        <w:tc>
          <w:tcPr>
            <w:tcW w:w="628" w:type="dxa"/>
          </w:tcPr>
          <w:p w14:paraId="783DC706" w14:textId="3EC821FC" w:rsidR="000F6878" w:rsidRDefault="00C7072A" w:rsidP="00C8197E">
            <w:pPr>
              <w:rPr>
                <w:rFonts w:asciiTheme="majorBidi" w:hAnsiTheme="majorBidi" w:cstheme="majorBidi"/>
                <w:sz w:val="22"/>
                <w:szCs w:val="22"/>
              </w:rPr>
            </w:pPr>
            <w:r>
              <w:rPr>
                <w:rFonts w:asciiTheme="majorBidi" w:hAnsiTheme="majorBidi" w:cstheme="majorBidi"/>
                <w:sz w:val="22"/>
                <w:szCs w:val="22"/>
              </w:rPr>
              <w:t>(f)</w:t>
            </w:r>
          </w:p>
        </w:tc>
        <w:tc>
          <w:tcPr>
            <w:tcW w:w="6619" w:type="dxa"/>
            <w:gridSpan w:val="3"/>
          </w:tcPr>
          <w:p w14:paraId="7509249B" w14:textId="1F19E06D" w:rsidR="000F6878" w:rsidRPr="00484243" w:rsidRDefault="000B4EAA" w:rsidP="000A724E">
            <w:pPr>
              <w:spacing w:line="360" w:lineRule="auto"/>
              <w:jc w:val="both"/>
              <w:rPr>
                <w:rFonts w:asciiTheme="majorBidi" w:hAnsiTheme="majorBidi" w:cstheme="majorBidi"/>
              </w:rPr>
            </w:pPr>
            <w:r w:rsidRPr="000B4EAA">
              <w:rPr>
                <w:rFonts w:asciiTheme="majorBidi" w:hAnsiTheme="majorBidi" w:cstheme="majorBidi"/>
              </w:rPr>
              <w:t xml:space="preserve">If the sandbox testing period exceeds </w:t>
            </w:r>
            <w:r>
              <w:rPr>
                <w:rFonts w:asciiTheme="majorBidi" w:hAnsiTheme="majorBidi" w:cstheme="majorBidi"/>
              </w:rPr>
              <w:t>12 (twelve)</w:t>
            </w:r>
            <w:r w:rsidRPr="000B4EAA">
              <w:rPr>
                <w:rFonts w:asciiTheme="majorBidi" w:hAnsiTheme="majorBidi" w:cstheme="majorBidi"/>
              </w:rPr>
              <w:t xml:space="preserve"> months, the applicant shall submit audited financial statements (if available) or management accounts for the previous year, along with the information specified in </w:t>
            </w:r>
            <w:r>
              <w:rPr>
                <w:rFonts w:asciiTheme="majorBidi" w:hAnsiTheme="majorBidi" w:cstheme="majorBidi"/>
              </w:rPr>
              <w:t>subsection</w:t>
            </w:r>
            <w:r w:rsidRPr="000B4EAA">
              <w:rPr>
                <w:rFonts w:asciiTheme="majorBidi" w:hAnsiTheme="majorBidi" w:cstheme="majorBidi"/>
              </w:rPr>
              <w:t xml:space="preserve"> (a)–</w:t>
            </w:r>
            <w:r>
              <w:rPr>
                <w:rFonts w:asciiTheme="majorBidi" w:hAnsiTheme="majorBidi" w:cstheme="majorBidi"/>
              </w:rPr>
              <w:t>(e) of this section.</w:t>
            </w:r>
          </w:p>
        </w:tc>
      </w:tr>
      <w:tr w:rsidR="000B4EAA" w14:paraId="4BAEC631" w14:textId="77777777" w:rsidTr="007B5D55">
        <w:trPr>
          <w:trHeight w:val="884"/>
        </w:trPr>
        <w:tc>
          <w:tcPr>
            <w:tcW w:w="2055" w:type="dxa"/>
          </w:tcPr>
          <w:p w14:paraId="557362AF" w14:textId="2469B33B" w:rsidR="000B4EAA" w:rsidRDefault="000B4EAA" w:rsidP="00C8197E">
            <w:pPr>
              <w:rPr>
                <w:rFonts w:asciiTheme="majorBidi" w:hAnsiTheme="majorBidi" w:cstheme="majorBidi"/>
                <w:sz w:val="22"/>
                <w:szCs w:val="22"/>
              </w:rPr>
            </w:pPr>
            <w:r>
              <w:rPr>
                <w:rFonts w:asciiTheme="majorBidi" w:hAnsiTheme="majorBidi" w:cstheme="majorBidi"/>
                <w:sz w:val="22"/>
                <w:szCs w:val="22"/>
              </w:rPr>
              <w:t>Third-party IT Audit</w:t>
            </w:r>
          </w:p>
        </w:tc>
        <w:tc>
          <w:tcPr>
            <w:tcW w:w="627" w:type="dxa"/>
          </w:tcPr>
          <w:p w14:paraId="469DB61B" w14:textId="0147FD39" w:rsidR="000B4EAA" w:rsidRDefault="000B4EAA" w:rsidP="00C8197E">
            <w:pPr>
              <w:rPr>
                <w:rFonts w:asciiTheme="majorBidi" w:hAnsiTheme="majorBidi" w:cstheme="majorBidi"/>
                <w:sz w:val="22"/>
                <w:szCs w:val="22"/>
              </w:rPr>
            </w:pPr>
            <w:r>
              <w:rPr>
                <w:rFonts w:asciiTheme="majorBidi" w:hAnsiTheme="majorBidi" w:cstheme="majorBidi"/>
                <w:sz w:val="22"/>
                <w:szCs w:val="22"/>
              </w:rPr>
              <w:t>12.</w:t>
            </w:r>
          </w:p>
        </w:tc>
        <w:tc>
          <w:tcPr>
            <w:tcW w:w="7247" w:type="dxa"/>
            <w:gridSpan w:val="4"/>
          </w:tcPr>
          <w:p w14:paraId="1CA6F26B" w14:textId="01F5120F" w:rsidR="000B4EAA" w:rsidRPr="00484243" w:rsidRDefault="00274DE8" w:rsidP="000A724E">
            <w:pPr>
              <w:spacing w:line="360" w:lineRule="auto"/>
              <w:jc w:val="both"/>
              <w:rPr>
                <w:rFonts w:asciiTheme="majorBidi" w:hAnsiTheme="majorBidi" w:cstheme="majorBidi"/>
              </w:rPr>
            </w:pPr>
            <w:r w:rsidRPr="00274DE8">
              <w:rPr>
                <w:rFonts w:asciiTheme="majorBidi" w:hAnsiTheme="majorBidi" w:cstheme="majorBidi"/>
              </w:rPr>
              <w:t>For the purpose of evaluating the technology of a product or service proposed for sandbox participation, the Authority</w:t>
            </w:r>
            <w:r>
              <w:rPr>
                <w:rFonts w:asciiTheme="majorBidi" w:hAnsiTheme="majorBidi" w:cstheme="majorBidi"/>
              </w:rPr>
              <w:t xml:space="preserve"> has the discretion to</w:t>
            </w:r>
            <w:r w:rsidRPr="00274DE8">
              <w:rPr>
                <w:rFonts w:asciiTheme="majorBidi" w:hAnsiTheme="majorBidi" w:cstheme="majorBidi"/>
              </w:rPr>
              <w:t xml:space="preserve"> require submission of a third-party IT audit during the proposal review or testing period.</w:t>
            </w:r>
          </w:p>
        </w:tc>
      </w:tr>
      <w:tr w:rsidR="00274DE8" w14:paraId="7DEAE192" w14:textId="77777777" w:rsidTr="002D51B7">
        <w:trPr>
          <w:trHeight w:val="884"/>
        </w:trPr>
        <w:tc>
          <w:tcPr>
            <w:tcW w:w="9929" w:type="dxa"/>
            <w:gridSpan w:val="6"/>
          </w:tcPr>
          <w:p w14:paraId="325B80E6" w14:textId="77777777" w:rsidR="00274DE8" w:rsidRDefault="00274DE8" w:rsidP="00274DE8">
            <w:pPr>
              <w:jc w:val="center"/>
              <w:rPr>
                <w:rFonts w:asciiTheme="majorBidi" w:hAnsiTheme="majorBidi" w:cstheme="majorBidi"/>
                <w:b/>
                <w:bCs/>
              </w:rPr>
            </w:pPr>
          </w:p>
          <w:p w14:paraId="3693317B" w14:textId="77D7F193" w:rsidR="00274DE8" w:rsidRPr="00274DE8" w:rsidRDefault="00274DE8" w:rsidP="00274DE8">
            <w:pPr>
              <w:spacing w:line="360" w:lineRule="auto"/>
              <w:jc w:val="center"/>
              <w:rPr>
                <w:rFonts w:asciiTheme="majorBidi" w:hAnsiTheme="majorBidi" w:cstheme="majorBidi"/>
                <w:b/>
                <w:bCs/>
              </w:rPr>
            </w:pPr>
            <w:r w:rsidRPr="00274DE8">
              <w:rPr>
                <w:rFonts w:asciiTheme="majorBidi" w:hAnsiTheme="majorBidi" w:cstheme="majorBidi"/>
                <w:b/>
                <w:bCs/>
              </w:rPr>
              <w:t>Chapter 6</w:t>
            </w:r>
          </w:p>
          <w:p w14:paraId="7054BBA6" w14:textId="762EEF22" w:rsidR="00274DE8" w:rsidRPr="00274DE8" w:rsidRDefault="00274DE8" w:rsidP="00274DE8">
            <w:pPr>
              <w:spacing w:line="360" w:lineRule="auto"/>
              <w:ind w:left="720"/>
              <w:jc w:val="center"/>
              <w:rPr>
                <w:rFonts w:asciiTheme="majorBidi" w:hAnsiTheme="majorBidi" w:cstheme="majorBidi"/>
              </w:rPr>
            </w:pPr>
            <w:r w:rsidRPr="00274DE8">
              <w:rPr>
                <w:rFonts w:asciiTheme="majorBidi" w:hAnsiTheme="majorBidi" w:cstheme="majorBidi"/>
                <w:b/>
                <w:bCs/>
              </w:rPr>
              <w:t>Exit and Withdrawal from the Sandbox</w:t>
            </w:r>
          </w:p>
          <w:p w14:paraId="1512664A" w14:textId="57FCB9E6" w:rsidR="00274DE8" w:rsidRPr="00484243" w:rsidRDefault="00274DE8" w:rsidP="00274DE8">
            <w:pPr>
              <w:jc w:val="center"/>
              <w:rPr>
                <w:rFonts w:asciiTheme="majorBidi" w:hAnsiTheme="majorBidi" w:cstheme="majorBidi"/>
              </w:rPr>
            </w:pPr>
          </w:p>
        </w:tc>
      </w:tr>
      <w:tr w:rsidR="00274DE8" w14:paraId="1DA047F3" w14:textId="77777777" w:rsidTr="00FA5A68">
        <w:trPr>
          <w:trHeight w:val="884"/>
        </w:trPr>
        <w:tc>
          <w:tcPr>
            <w:tcW w:w="2055" w:type="dxa"/>
          </w:tcPr>
          <w:p w14:paraId="36DCA330" w14:textId="4E14E1E7" w:rsidR="00274DE8" w:rsidRDefault="00274DE8" w:rsidP="00C8197E">
            <w:pPr>
              <w:rPr>
                <w:rFonts w:asciiTheme="majorBidi" w:hAnsiTheme="majorBidi" w:cstheme="majorBidi"/>
                <w:sz w:val="22"/>
                <w:szCs w:val="22"/>
              </w:rPr>
            </w:pPr>
            <w:r>
              <w:rPr>
                <w:rFonts w:asciiTheme="majorBidi" w:hAnsiTheme="majorBidi" w:cstheme="majorBidi"/>
                <w:sz w:val="22"/>
                <w:szCs w:val="22"/>
              </w:rPr>
              <w:t xml:space="preserve">Exit after successful testing </w:t>
            </w:r>
          </w:p>
        </w:tc>
        <w:tc>
          <w:tcPr>
            <w:tcW w:w="627" w:type="dxa"/>
          </w:tcPr>
          <w:p w14:paraId="496D39BC" w14:textId="1BB72B8D" w:rsidR="00274DE8" w:rsidRDefault="00274DE8" w:rsidP="00C8197E">
            <w:pPr>
              <w:rPr>
                <w:rFonts w:asciiTheme="majorBidi" w:hAnsiTheme="majorBidi" w:cstheme="majorBidi"/>
                <w:sz w:val="22"/>
                <w:szCs w:val="22"/>
              </w:rPr>
            </w:pPr>
            <w:r>
              <w:rPr>
                <w:rFonts w:asciiTheme="majorBidi" w:hAnsiTheme="majorBidi" w:cstheme="majorBidi"/>
                <w:sz w:val="22"/>
                <w:szCs w:val="22"/>
              </w:rPr>
              <w:t>13.</w:t>
            </w:r>
          </w:p>
        </w:tc>
        <w:tc>
          <w:tcPr>
            <w:tcW w:w="7247" w:type="dxa"/>
            <w:gridSpan w:val="4"/>
          </w:tcPr>
          <w:p w14:paraId="6129DA15" w14:textId="4FADBC70" w:rsidR="00274DE8" w:rsidRPr="00484243" w:rsidRDefault="001F7A13" w:rsidP="000A724E">
            <w:pPr>
              <w:spacing w:line="360" w:lineRule="auto"/>
              <w:jc w:val="both"/>
              <w:rPr>
                <w:rFonts w:asciiTheme="majorBidi" w:hAnsiTheme="majorBidi" w:cstheme="majorBidi"/>
              </w:rPr>
            </w:pPr>
            <w:r w:rsidRPr="001F7A13">
              <w:rPr>
                <w:rFonts w:asciiTheme="majorBidi" w:hAnsiTheme="majorBidi" w:cstheme="majorBidi"/>
              </w:rPr>
              <w:t xml:space="preserve">Where the objectives of sandbox testing have been achieved, the proposed product or service may be </w:t>
            </w:r>
            <w:r>
              <w:rPr>
                <w:rFonts w:asciiTheme="majorBidi" w:hAnsiTheme="majorBidi" w:cstheme="majorBidi"/>
              </w:rPr>
              <w:t>deployed</w:t>
            </w:r>
            <w:r w:rsidRPr="001F7A13">
              <w:rPr>
                <w:rFonts w:asciiTheme="majorBidi" w:hAnsiTheme="majorBidi" w:cstheme="majorBidi"/>
              </w:rPr>
              <w:t xml:space="preserve"> </w:t>
            </w:r>
            <w:r>
              <w:rPr>
                <w:rFonts w:asciiTheme="majorBidi" w:hAnsiTheme="majorBidi" w:cstheme="majorBidi"/>
              </w:rPr>
              <w:t xml:space="preserve">to the broader market </w:t>
            </w:r>
            <w:r w:rsidRPr="001F7A13">
              <w:rPr>
                <w:rFonts w:asciiTheme="majorBidi" w:hAnsiTheme="majorBidi" w:cstheme="majorBidi"/>
              </w:rPr>
              <w:t>upon completion of the following steps.</w:t>
            </w:r>
          </w:p>
        </w:tc>
      </w:tr>
      <w:tr w:rsidR="000F6878" w14:paraId="3A715AE5" w14:textId="77777777" w:rsidTr="00D250C6">
        <w:trPr>
          <w:trHeight w:val="884"/>
        </w:trPr>
        <w:tc>
          <w:tcPr>
            <w:tcW w:w="2055" w:type="dxa"/>
          </w:tcPr>
          <w:p w14:paraId="5E644907" w14:textId="77777777" w:rsidR="000F6878" w:rsidRDefault="000F6878" w:rsidP="00C8197E">
            <w:pPr>
              <w:rPr>
                <w:rFonts w:asciiTheme="majorBidi" w:hAnsiTheme="majorBidi" w:cstheme="majorBidi"/>
                <w:sz w:val="22"/>
                <w:szCs w:val="22"/>
              </w:rPr>
            </w:pPr>
          </w:p>
        </w:tc>
        <w:tc>
          <w:tcPr>
            <w:tcW w:w="627" w:type="dxa"/>
          </w:tcPr>
          <w:p w14:paraId="48528B4D" w14:textId="77777777" w:rsidR="000F6878" w:rsidRDefault="000F6878" w:rsidP="00C8197E">
            <w:pPr>
              <w:rPr>
                <w:rFonts w:asciiTheme="majorBidi" w:hAnsiTheme="majorBidi" w:cstheme="majorBidi"/>
                <w:sz w:val="22"/>
                <w:szCs w:val="22"/>
              </w:rPr>
            </w:pPr>
          </w:p>
        </w:tc>
        <w:tc>
          <w:tcPr>
            <w:tcW w:w="628" w:type="dxa"/>
          </w:tcPr>
          <w:p w14:paraId="21B6E92F" w14:textId="29598871" w:rsidR="000F6878" w:rsidRDefault="001F7A13" w:rsidP="00C8197E">
            <w:pPr>
              <w:rPr>
                <w:rFonts w:asciiTheme="majorBidi" w:hAnsiTheme="majorBidi" w:cstheme="majorBidi"/>
                <w:sz w:val="22"/>
                <w:szCs w:val="22"/>
              </w:rPr>
            </w:pPr>
            <w:r>
              <w:rPr>
                <w:rFonts w:asciiTheme="majorBidi" w:hAnsiTheme="majorBidi" w:cstheme="majorBidi"/>
                <w:sz w:val="22"/>
                <w:szCs w:val="22"/>
              </w:rPr>
              <w:t>(a)</w:t>
            </w:r>
          </w:p>
        </w:tc>
        <w:tc>
          <w:tcPr>
            <w:tcW w:w="6619" w:type="dxa"/>
            <w:gridSpan w:val="3"/>
          </w:tcPr>
          <w:p w14:paraId="011C6C3F" w14:textId="095911D3" w:rsidR="000F6878" w:rsidRPr="00484243" w:rsidRDefault="00872617" w:rsidP="000A724E">
            <w:pPr>
              <w:spacing w:line="360" w:lineRule="auto"/>
              <w:jc w:val="both"/>
              <w:rPr>
                <w:rFonts w:asciiTheme="majorBidi" w:hAnsiTheme="majorBidi" w:cstheme="majorBidi"/>
              </w:rPr>
            </w:pPr>
            <w:r w:rsidRPr="00872617">
              <w:rPr>
                <w:rFonts w:asciiTheme="majorBidi" w:hAnsiTheme="majorBidi" w:cstheme="majorBidi"/>
              </w:rPr>
              <w:t>All rights of investors who participated in the testing have been exercised;</w:t>
            </w:r>
          </w:p>
        </w:tc>
      </w:tr>
      <w:tr w:rsidR="000F6878" w14:paraId="2ABF51F5" w14:textId="77777777" w:rsidTr="00D250C6">
        <w:trPr>
          <w:trHeight w:val="884"/>
        </w:trPr>
        <w:tc>
          <w:tcPr>
            <w:tcW w:w="2055" w:type="dxa"/>
          </w:tcPr>
          <w:p w14:paraId="29B8CAE7" w14:textId="77777777" w:rsidR="000F6878" w:rsidRDefault="000F6878" w:rsidP="00C8197E">
            <w:pPr>
              <w:rPr>
                <w:rFonts w:asciiTheme="majorBidi" w:hAnsiTheme="majorBidi" w:cstheme="majorBidi"/>
                <w:sz w:val="22"/>
                <w:szCs w:val="22"/>
              </w:rPr>
            </w:pPr>
          </w:p>
        </w:tc>
        <w:tc>
          <w:tcPr>
            <w:tcW w:w="627" w:type="dxa"/>
          </w:tcPr>
          <w:p w14:paraId="314CB857" w14:textId="77777777" w:rsidR="000F6878" w:rsidRDefault="000F6878" w:rsidP="00C8197E">
            <w:pPr>
              <w:rPr>
                <w:rFonts w:asciiTheme="majorBidi" w:hAnsiTheme="majorBidi" w:cstheme="majorBidi"/>
                <w:sz w:val="22"/>
                <w:szCs w:val="22"/>
              </w:rPr>
            </w:pPr>
          </w:p>
        </w:tc>
        <w:tc>
          <w:tcPr>
            <w:tcW w:w="628" w:type="dxa"/>
          </w:tcPr>
          <w:p w14:paraId="6748B2D3" w14:textId="3EA6416B" w:rsidR="000F6878" w:rsidRDefault="00872617" w:rsidP="00C8197E">
            <w:pPr>
              <w:rPr>
                <w:rFonts w:asciiTheme="majorBidi" w:hAnsiTheme="majorBidi" w:cstheme="majorBidi"/>
                <w:sz w:val="22"/>
                <w:szCs w:val="22"/>
              </w:rPr>
            </w:pPr>
            <w:r>
              <w:rPr>
                <w:rFonts w:asciiTheme="majorBidi" w:hAnsiTheme="majorBidi" w:cstheme="majorBidi"/>
                <w:sz w:val="22"/>
                <w:szCs w:val="22"/>
              </w:rPr>
              <w:t>(b)</w:t>
            </w:r>
          </w:p>
        </w:tc>
        <w:tc>
          <w:tcPr>
            <w:tcW w:w="6619" w:type="dxa"/>
            <w:gridSpan w:val="3"/>
          </w:tcPr>
          <w:p w14:paraId="6B0144F5" w14:textId="677EB7D4" w:rsidR="000F6878" w:rsidRPr="00484243" w:rsidRDefault="00872617" w:rsidP="000A724E">
            <w:pPr>
              <w:spacing w:line="360" w:lineRule="auto"/>
              <w:jc w:val="both"/>
              <w:rPr>
                <w:rFonts w:asciiTheme="majorBidi" w:hAnsiTheme="majorBidi" w:cstheme="majorBidi"/>
              </w:rPr>
            </w:pPr>
            <w:r w:rsidRPr="00872617">
              <w:rPr>
                <w:rFonts w:asciiTheme="majorBidi" w:hAnsiTheme="majorBidi" w:cstheme="majorBidi"/>
              </w:rPr>
              <w:t>The Authority has determined that the benefits to investors from the product or service outweigh the risks involved</w:t>
            </w:r>
            <w:r>
              <w:rPr>
                <w:rFonts w:asciiTheme="majorBidi" w:hAnsiTheme="majorBidi" w:cstheme="majorBidi"/>
              </w:rPr>
              <w:t>;</w:t>
            </w:r>
          </w:p>
        </w:tc>
      </w:tr>
      <w:tr w:rsidR="000F6878" w14:paraId="01A5C4F1" w14:textId="77777777" w:rsidTr="00D250C6">
        <w:trPr>
          <w:trHeight w:val="884"/>
        </w:trPr>
        <w:tc>
          <w:tcPr>
            <w:tcW w:w="2055" w:type="dxa"/>
          </w:tcPr>
          <w:p w14:paraId="14F6BC57" w14:textId="77777777" w:rsidR="000F6878" w:rsidRDefault="000F6878" w:rsidP="00C8197E">
            <w:pPr>
              <w:rPr>
                <w:rFonts w:asciiTheme="majorBidi" w:hAnsiTheme="majorBidi" w:cstheme="majorBidi"/>
                <w:sz w:val="22"/>
                <w:szCs w:val="22"/>
              </w:rPr>
            </w:pPr>
          </w:p>
        </w:tc>
        <w:tc>
          <w:tcPr>
            <w:tcW w:w="627" w:type="dxa"/>
          </w:tcPr>
          <w:p w14:paraId="58A4222E" w14:textId="77777777" w:rsidR="000F6878" w:rsidRDefault="000F6878" w:rsidP="00C8197E">
            <w:pPr>
              <w:rPr>
                <w:rFonts w:asciiTheme="majorBidi" w:hAnsiTheme="majorBidi" w:cstheme="majorBidi"/>
                <w:sz w:val="22"/>
                <w:szCs w:val="22"/>
              </w:rPr>
            </w:pPr>
          </w:p>
        </w:tc>
        <w:tc>
          <w:tcPr>
            <w:tcW w:w="628" w:type="dxa"/>
          </w:tcPr>
          <w:p w14:paraId="2BC030FA" w14:textId="0AFD0A5E" w:rsidR="000F6878" w:rsidRDefault="00872617" w:rsidP="00C8197E">
            <w:pPr>
              <w:rPr>
                <w:rFonts w:asciiTheme="majorBidi" w:hAnsiTheme="majorBidi" w:cstheme="majorBidi"/>
                <w:sz w:val="22"/>
                <w:szCs w:val="22"/>
              </w:rPr>
            </w:pPr>
            <w:r>
              <w:rPr>
                <w:rFonts w:asciiTheme="majorBidi" w:hAnsiTheme="majorBidi" w:cstheme="majorBidi"/>
                <w:sz w:val="22"/>
                <w:szCs w:val="22"/>
              </w:rPr>
              <w:t>(c)</w:t>
            </w:r>
          </w:p>
        </w:tc>
        <w:tc>
          <w:tcPr>
            <w:tcW w:w="6619" w:type="dxa"/>
            <w:gridSpan w:val="3"/>
          </w:tcPr>
          <w:p w14:paraId="0723C0BD" w14:textId="1E6AF9D0" w:rsidR="000F6878" w:rsidRPr="00484243" w:rsidRDefault="00872617" w:rsidP="000A724E">
            <w:pPr>
              <w:spacing w:line="360" w:lineRule="auto"/>
              <w:jc w:val="both"/>
              <w:rPr>
                <w:rFonts w:asciiTheme="majorBidi" w:hAnsiTheme="majorBidi" w:cstheme="majorBidi"/>
              </w:rPr>
            </w:pPr>
            <w:r w:rsidRPr="00872617">
              <w:rPr>
                <w:rFonts w:asciiTheme="majorBidi" w:hAnsiTheme="majorBidi" w:cstheme="majorBidi"/>
              </w:rPr>
              <w:t>The Authority has granted approval for the broader market introduction of the product or service.</w:t>
            </w:r>
          </w:p>
        </w:tc>
      </w:tr>
      <w:tr w:rsidR="000F6878" w14:paraId="11D1322E" w14:textId="77777777" w:rsidTr="00D250C6">
        <w:trPr>
          <w:trHeight w:val="884"/>
        </w:trPr>
        <w:tc>
          <w:tcPr>
            <w:tcW w:w="2055" w:type="dxa"/>
          </w:tcPr>
          <w:p w14:paraId="4F810075" w14:textId="77777777" w:rsidR="000F6878" w:rsidRDefault="000F6878" w:rsidP="00C8197E">
            <w:pPr>
              <w:rPr>
                <w:rFonts w:asciiTheme="majorBidi" w:hAnsiTheme="majorBidi" w:cstheme="majorBidi"/>
                <w:sz w:val="22"/>
                <w:szCs w:val="22"/>
              </w:rPr>
            </w:pPr>
          </w:p>
        </w:tc>
        <w:tc>
          <w:tcPr>
            <w:tcW w:w="627" w:type="dxa"/>
          </w:tcPr>
          <w:p w14:paraId="22FB571B" w14:textId="77777777" w:rsidR="000F6878" w:rsidRDefault="000F6878" w:rsidP="00C8197E">
            <w:pPr>
              <w:rPr>
                <w:rFonts w:asciiTheme="majorBidi" w:hAnsiTheme="majorBidi" w:cstheme="majorBidi"/>
                <w:sz w:val="22"/>
                <w:szCs w:val="22"/>
              </w:rPr>
            </w:pPr>
          </w:p>
        </w:tc>
        <w:tc>
          <w:tcPr>
            <w:tcW w:w="628" w:type="dxa"/>
          </w:tcPr>
          <w:p w14:paraId="1F497A81" w14:textId="46EB20BF" w:rsidR="000F6878" w:rsidRDefault="00872617" w:rsidP="00C8197E">
            <w:pPr>
              <w:rPr>
                <w:rFonts w:asciiTheme="majorBidi" w:hAnsiTheme="majorBidi" w:cstheme="majorBidi"/>
                <w:sz w:val="22"/>
                <w:szCs w:val="22"/>
              </w:rPr>
            </w:pPr>
            <w:r>
              <w:rPr>
                <w:rFonts w:asciiTheme="majorBidi" w:hAnsiTheme="majorBidi" w:cstheme="majorBidi"/>
                <w:sz w:val="22"/>
                <w:szCs w:val="22"/>
              </w:rPr>
              <w:t>(d)</w:t>
            </w:r>
          </w:p>
        </w:tc>
        <w:tc>
          <w:tcPr>
            <w:tcW w:w="6619" w:type="dxa"/>
            <w:gridSpan w:val="3"/>
          </w:tcPr>
          <w:p w14:paraId="60ED7C94" w14:textId="2DFD554A" w:rsidR="000F6878" w:rsidRPr="00484243" w:rsidRDefault="00872617" w:rsidP="000A724E">
            <w:pPr>
              <w:spacing w:line="360" w:lineRule="auto"/>
              <w:jc w:val="both"/>
              <w:rPr>
                <w:rFonts w:asciiTheme="majorBidi" w:hAnsiTheme="majorBidi" w:cstheme="majorBidi"/>
              </w:rPr>
            </w:pPr>
            <w:r w:rsidRPr="00872617">
              <w:rPr>
                <w:rFonts w:asciiTheme="majorBidi" w:hAnsiTheme="majorBidi" w:cstheme="majorBidi"/>
              </w:rPr>
              <w:t>Complete adherence to all regulatory requirements set forth by the Authority.</w:t>
            </w:r>
          </w:p>
        </w:tc>
      </w:tr>
      <w:tr w:rsidR="00872617" w14:paraId="400C375A" w14:textId="77777777" w:rsidTr="003513CF">
        <w:trPr>
          <w:trHeight w:val="884"/>
        </w:trPr>
        <w:tc>
          <w:tcPr>
            <w:tcW w:w="2055" w:type="dxa"/>
          </w:tcPr>
          <w:p w14:paraId="04B6C487" w14:textId="43AC7E6C" w:rsidR="00872617" w:rsidRDefault="0042098A" w:rsidP="00C8197E">
            <w:pPr>
              <w:rPr>
                <w:rFonts w:asciiTheme="majorBidi" w:hAnsiTheme="majorBidi" w:cstheme="majorBidi"/>
                <w:sz w:val="22"/>
                <w:szCs w:val="22"/>
              </w:rPr>
            </w:pPr>
            <w:r>
              <w:rPr>
                <w:rFonts w:asciiTheme="majorBidi" w:hAnsiTheme="majorBidi" w:cstheme="majorBidi"/>
                <w:sz w:val="22"/>
                <w:szCs w:val="22"/>
              </w:rPr>
              <w:t>E</w:t>
            </w:r>
            <w:r w:rsidR="00872617">
              <w:rPr>
                <w:rFonts w:asciiTheme="majorBidi" w:hAnsiTheme="majorBidi" w:cstheme="majorBidi"/>
                <w:sz w:val="22"/>
                <w:szCs w:val="22"/>
              </w:rPr>
              <w:t>xit plan</w:t>
            </w:r>
          </w:p>
        </w:tc>
        <w:tc>
          <w:tcPr>
            <w:tcW w:w="627" w:type="dxa"/>
          </w:tcPr>
          <w:p w14:paraId="729E1F4B" w14:textId="42EA6104" w:rsidR="00872617" w:rsidRDefault="00872617" w:rsidP="00C8197E">
            <w:pPr>
              <w:rPr>
                <w:rFonts w:asciiTheme="majorBidi" w:hAnsiTheme="majorBidi" w:cstheme="majorBidi"/>
                <w:sz w:val="22"/>
                <w:szCs w:val="22"/>
              </w:rPr>
            </w:pPr>
            <w:r>
              <w:rPr>
                <w:rFonts w:asciiTheme="majorBidi" w:hAnsiTheme="majorBidi" w:cstheme="majorBidi"/>
                <w:sz w:val="22"/>
                <w:szCs w:val="22"/>
              </w:rPr>
              <w:t>14.</w:t>
            </w:r>
          </w:p>
        </w:tc>
        <w:tc>
          <w:tcPr>
            <w:tcW w:w="7247" w:type="dxa"/>
            <w:gridSpan w:val="4"/>
          </w:tcPr>
          <w:p w14:paraId="67E10F13" w14:textId="4B1A6D57" w:rsidR="00872617" w:rsidRPr="00872617" w:rsidRDefault="00982C57" w:rsidP="00982C57">
            <w:pPr>
              <w:spacing w:line="360" w:lineRule="auto"/>
              <w:jc w:val="both"/>
              <w:rPr>
                <w:rFonts w:asciiTheme="majorBidi" w:hAnsiTheme="majorBidi" w:cstheme="majorBidi"/>
              </w:rPr>
            </w:pPr>
            <w:r w:rsidRPr="00982C57">
              <w:rPr>
                <w:rFonts w:asciiTheme="majorBidi" w:hAnsiTheme="majorBidi" w:cstheme="majorBidi"/>
              </w:rPr>
              <w:t>All applicants shall prepare an exit plan to be implemented when a sandbox product or service successfully completes testing and exits the sandbox. The exit plan shall include the following information</w:t>
            </w:r>
            <w:r>
              <w:rPr>
                <w:rFonts w:asciiTheme="majorBidi" w:hAnsiTheme="majorBidi" w:cstheme="majorBidi"/>
              </w:rPr>
              <w:t>;</w:t>
            </w:r>
          </w:p>
        </w:tc>
      </w:tr>
      <w:tr w:rsidR="00872617" w14:paraId="6F55D8EA" w14:textId="77777777" w:rsidTr="00D250C6">
        <w:trPr>
          <w:trHeight w:val="884"/>
        </w:trPr>
        <w:tc>
          <w:tcPr>
            <w:tcW w:w="2055" w:type="dxa"/>
          </w:tcPr>
          <w:p w14:paraId="2FB43D4E" w14:textId="77777777" w:rsidR="00872617" w:rsidRDefault="00872617" w:rsidP="00C8197E">
            <w:pPr>
              <w:rPr>
                <w:rFonts w:asciiTheme="majorBidi" w:hAnsiTheme="majorBidi" w:cstheme="majorBidi"/>
                <w:sz w:val="22"/>
                <w:szCs w:val="22"/>
              </w:rPr>
            </w:pPr>
          </w:p>
        </w:tc>
        <w:tc>
          <w:tcPr>
            <w:tcW w:w="627" w:type="dxa"/>
          </w:tcPr>
          <w:p w14:paraId="30A0A95C" w14:textId="77777777" w:rsidR="00872617" w:rsidRDefault="00872617" w:rsidP="00C8197E">
            <w:pPr>
              <w:rPr>
                <w:rFonts w:asciiTheme="majorBidi" w:hAnsiTheme="majorBidi" w:cstheme="majorBidi"/>
                <w:sz w:val="22"/>
                <w:szCs w:val="22"/>
              </w:rPr>
            </w:pPr>
          </w:p>
        </w:tc>
        <w:tc>
          <w:tcPr>
            <w:tcW w:w="628" w:type="dxa"/>
          </w:tcPr>
          <w:p w14:paraId="1E8E07F7" w14:textId="30C1112B" w:rsidR="00872617" w:rsidRDefault="00872617" w:rsidP="00C8197E">
            <w:pPr>
              <w:rPr>
                <w:rFonts w:asciiTheme="majorBidi" w:hAnsiTheme="majorBidi" w:cstheme="majorBidi"/>
                <w:sz w:val="22"/>
                <w:szCs w:val="22"/>
              </w:rPr>
            </w:pPr>
            <w:r>
              <w:rPr>
                <w:rFonts w:asciiTheme="majorBidi" w:hAnsiTheme="majorBidi" w:cstheme="majorBidi"/>
                <w:sz w:val="22"/>
                <w:szCs w:val="22"/>
              </w:rPr>
              <w:t>(a)</w:t>
            </w:r>
          </w:p>
        </w:tc>
        <w:tc>
          <w:tcPr>
            <w:tcW w:w="6619" w:type="dxa"/>
            <w:gridSpan w:val="3"/>
          </w:tcPr>
          <w:p w14:paraId="49D44487" w14:textId="7EEC87E3" w:rsidR="00872617" w:rsidRPr="00872617" w:rsidRDefault="00965AE2" w:rsidP="00982C57">
            <w:pPr>
              <w:spacing w:line="360" w:lineRule="auto"/>
              <w:rPr>
                <w:rFonts w:asciiTheme="majorBidi" w:hAnsiTheme="majorBidi" w:cstheme="majorBidi"/>
              </w:rPr>
            </w:pPr>
            <w:r w:rsidRPr="00965AE2">
              <w:rPr>
                <w:rFonts w:asciiTheme="majorBidi" w:hAnsiTheme="majorBidi" w:cstheme="majorBidi"/>
              </w:rPr>
              <w:t>Effective mechanisms for informing and notifying participating investors;</w:t>
            </w:r>
          </w:p>
        </w:tc>
      </w:tr>
      <w:tr w:rsidR="00872617" w14:paraId="6064D448" w14:textId="77777777" w:rsidTr="00D250C6">
        <w:trPr>
          <w:trHeight w:val="884"/>
        </w:trPr>
        <w:tc>
          <w:tcPr>
            <w:tcW w:w="2055" w:type="dxa"/>
          </w:tcPr>
          <w:p w14:paraId="4B6F7C19" w14:textId="77777777" w:rsidR="00872617" w:rsidRDefault="00872617" w:rsidP="00C8197E">
            <w:pPr>
              <w:rPr>
                <w:rFonts w:asciiTheme="majorBidi" w:hAnsiTheme="majorBidi" w:cstheme="majorBidi"/>
                <w:sz w:val="22"/>
                <w:szCs w:val="22"/>
              </w:rPr>
            </w:pPr>
          </w:p>
        </w:tc>
        <w:tc>
          <w:tcPr>
            <w:tcW w:w="627" w:type="dxa"/>
          </w:tcPr>
          <w:p w14:paraId="0EF8A4ED" w14:textId="77777777" w:rsidR="00872617" w:rsidRDefault="00872617" w:rsidP="00C8197E">
            <w:pPr>
              <w:rPr>
                <w:rFonts w:asciiTheme="majorBidi" w:hAnsiTheme="majorBidi" w:cstheme="majorBidi"/>
                <w:sz w:val="22"/>
                <w:szCs w:val="22"/>
              </w:rPr>
            </w:pPr>
          </w:p>
        </w:tc>
        <w:tc>
          <w:tcPr>
            <w:tcW w:w="628" w:type="dxa"/>
          </w:tcPr>
          <w:p w14:paraId="73DBC367" w14:textId="56E1333D" w:rsidR="00872617" w:rsidRDefault="00872617" w:rsidP="00C8197E">
            <w:pPr>
              <w:rPr>
                <w:rFonts w:asciiTheme="majorBidi" w:hAnsiTheme="majorBidi" w:cstheme="majorBidi"/>
                <w:sz w:val="22"/>
                <w:szCs w:val="22"/>
              </w:rPr>
            </w:pPr>
            <w:r>
              <w:rPr>
                <w:rFonts w:asciiTheme="majorBidi" w:hAnsiTheme="majorBidi" w:cstheme="majorBidi"/>
                <w:sz w:val="22"/>
                <w:szCs w:val="22"/>
              </w:rPr>
              <w:t>(b)</w:t>
            </w:r>
          </w:p>
        </w:tc>
        <w:tc>
          <w:tcPr>
            <w:tcW w:w="6619" w:type="dxa"/>
            <w:gridSpan w:val="3"/>
          </w:tcPr>
          <w:p w14:paraId="50E4462C" w14:textId="4AEAD346" w:rsidR="00872617" w:rsidRPr="00872617" w:rsidRDefault="00965AE2" w:rsidP="00982C57">
            <w:pPr>
              <w:spacing w:line="360" w:lineRule="auto"/>
              <w:rPr>
                <w:rFonts w:asciiTheme="majorBidi" w:hAnsiTheme="majorBidi" w:cstheme="majorBidi"/>
              </w:rPr>
            </w:pPr>
            <w:r w:rsidRPr="00965AE2">
              <w:rPr>
                <w:rFonts w:asciiTheme="majorBidi" w:hAnsiTheme="majorBidi" w:cstheme="majorBidi"/>
              </w:rPr>
              <w:t>Procedures for transitioning investors who wish to move to the live environment during deployment.</w:t>
            </w:r>
          </w:p>
        </w:tc>
      </w:tr>
      <w:tr w:rsidR="0042098A" w14:paraId="5603DFC0" w14:textId="77777777" w:rsidTr="002E18EC">
        <w:trPr>
          <w:trHeight w:val="884"/>
        </w:trPr>
        <w:tc>
          <w:tcPr>
            <w:tcW w:w="2055" w:type="dxa"/>
          </w:tcPr>
          <w:p w14:paraId="1730C73E" w14:textId="0D746547" w:rsidR="0042098A" w:rsidRPr="00965AE2" w:rsidRDefault="0042098A" w:rsidP="00C8197E">
            <w:pPr>
              <w:rPr>
                <w:rFonts w:asciiTheme="majorBidi" w:hAnsiTheme="majorBidi" w:cs="MV Boli"/>
                <w:sz w:val="22"/>
                <w:szCs w:val="22"/>
                <w:lang w:bidi="dv-MV"/>
              </w:rPr>
            </w:pPr>
            <w:r>
              <w:rPr>
                <w:rFonts w:asciiTheme="majorBidi" w:hAnsiTheme="majorBidi" w:cs="MV Boli"/>
                <w:sz w:val="22"/>
                <w:szCs w:val="22"/>
                <w:lang w:bidi="dv-MV"/>
              </w:rPr>
              <w:lastRenderedPageBreak/>
              <w:t>Withdrawal plan</w:t>
            </w:r>
          </w:p>
        </w:tc>
        <w:tc>
          <w:tcPr>
            <w:tcW w:w="627" w:type="dxa"/>
          </w:tcPr>
          <w:p w14:paraId="45585D61" w14:textId="19AEC3AB" w:rsidR="0042098A" w:rsidRDefault="0042098A" w:rsidP="00C8197E">
            <w:pPr>
              <w:rPr>
                <w:rFonts w:asciiTheme="majorBidi" w:hAnsiTheme="majorBidi" w:cstheme="majorBidi"/>
                <w:sz w:val="22"/>
                <w:szCs w:val="22"/>
              </w:rPr>
            </w:pPr>
            <w:r>
              <w:rPr>
                <w:rFonts w:asciiTheme="majorBidi" w:hAnsiTheme="majorBidi" w:cstheme="majorBidi"/>
                <w:sz w:val="22"/>
                <w:szCs w:val="22"/>
              </w:rPr>
              <w:t>15.</w:t>
            </w:r>
          </w:p>
        </w:tc>
        <w:tc>
          <w:tcPr>
            <w:tcW w:w="7247" w:type="dxa"/>
            <w:gridSpan w:val="4"/>
          </w:tcPr>
          <w:p w14:paraId="17DB6023" w14:textId="196A062F" w:rsidR="0042098A" w:rsidRPr="0042098A" w:rsidRDefault="0042098A" w:rsidP="000A724E">
            <w:pPr>
              <w:spacing w:line="360" w:lineRule="auto"/>
              <w:jc w:val="both"/>
              <w:rPr>
                <w:rFonts w:asciiTheme="majorBidi" w:hAnsiTheme="majorBidi" w:cs="MV Boli"/>
                <w:lang w:bidi="dv-MV"/>
              </w:rPr>
            </w:pPr>
            <w:r w:rsidRPr="0042098A">
              <w:rPr>
                <w:rFonts w:asciiTheme="majorBidi" w:hAnsiTheme="majorBidi" w:cstheme="majorBidi"/>
              </w:rPr>
              <w:t xml:space="preserve">All applicants shall prepare a withdrawal plan, to be applied in the event that the product or service fails sandbox testing or is withdrawn prior to the completion of the testing period. The withdrawal plan shall include the following </w:t>
            </w:r>
            <w:r>
              <w:rPr>
                <w:rFonts w:asciiTheme="majorBidi" w:hAnsiTheme="majorBidi" w:cstheme="majorBidi"/>
              </w:rPr>
              <w:t>information</w:t>
            </w:r>
            <w:r w:rsidR="00982C57">
              <w:rPr>
                <w:rFonts w:asciiTheme="majorBidi" w:hAnsiTheme="majorBidi" w:cstheme="majorBidi"/>
              </w:rPr>
              <w:t>:</w:t>
            </w:r>
          </w:p>
        </w:tc>
      </w:tr>
      <w:tr w:rsidR="00872617" w14:paraId="286C8A16" w14:textId="77777777" w:rsidTr="00D250C6">
        <w:trPr>
          <w:trHeight w:val="884"/>
        </w:trPr>
        <w:tc>
          <w:tcPr>
            <w:tcW w:w="2055" w:type="dxa"/>
          </w:tcPr>
          <w:p w14:paraId="6DABBC10" w14:textId="77777777" w:rsidR="00872617" w:rsidRDefault="00872617" w:rsidP="00C8197E">
            <w:pPr>
              <w:rPr>
                <w:rFonts w:asciiTheme="majorBidi" w:hAnsiTheme="majorBidi" w:cstheme="majorBidi"/>
                <w:sz w:val="22"/>
                <w:szCs w:val="22"/>
              </w:rPr>
            </w:pPr>
          </w:p>
        </w:tc>
        <w:tc>
          <w:tcPr>
            <w:tcW w:w="627" w:type="dxa"/>
          </w:tcPr>
          <w:p w14:paraId="705AA08E" w14:textId="77777777" w:rsidR="00872617" w:rsidRDefault="00872617" w:rsidP="00C8197E">
            <w:pPr>
              <w:rPr>
                <w:rFonts w:asciiTheme="majorBidi" w:hAnsiTheme="majorBidi" w:cstheme="majorBidi"/>
                <w:sz w:val="22"/>
                <w:szCs w:val="22"/>
              </w:rPr>
            </w:pPr>
          </w:p>
        </w:tc>
        <w:tc>
          <w:tcPr>
            <w:tcW w:w="628" w:type="dxa"/>
          </w:tcPr>
          <w:p w14:paraId="5FCE5368" w14:textId="16648671" w:rsidR="00872617" w:rsidRDefault="00982C57" w:rsidP="00C8197E">
            <w:pPr>
              <w:rPr>
                <w:rFonts w:asciiTheme="majorBidi" w:hAnsiTheme="majorBidi" w:cstheme="majorBidi"/>
                <w:sz w:val="22"/>
                <w:szCs w:val="22"/>
              </w:rPr>
            </w:pPr>
            <w:r>
              <w:rPr>
                <w:rFonts w:asciiTheme="majorBidi" w:hAnsiTheme="majorBidi" w:cstheme="majorBidi"/>
                <w:sz w:val="22"/>
                <w:szCs w:val="22"/>
              </w:rPr>
              <w:t>(a)</w:t>
            </w:r>
          </w:p>
        </w:tc>
        <w:tc>
          <w:tcPr>
            <w:tcW w:w="6619" w:type="dxa"/>
            <w:gridSpan w:val="3"/>
          </w:tcPr>
          <w:p w14:paraId="0962A54F" w14:textId="39F38B0B" w:rsidR="00872617" w:rsidRPr="00872617" w:rsidRDefault="00982C57" w:rsidP="000A724E">
            <w:pPr>
              <w:spacing w:line="360" w:lineRule="auto"/>
              <w:jc w:val="both"/>
              <w:rPr>
                <w:rFonts w:asciiTheme="majorBidi" w:hAnsiTheme="majorBidi" w:cstheme="majorBidi"/>
              </w:rPr>
            </w:pPr>
            <w:r w:rsidRPr="00982C57">
              <w:rPr>
                <w:rFonts w:asciiTheme="majorBidi" w:hAnsiTheme="majorBidi" w:cstheme="majorBidi"/>
              </w:rPr>
              <w:t>Applicants shall establish robust procedures for providing information and notifications to investors who participated in the testing</w:t>
            </w:r>
            <w:r>
              <w:rPr>
                <w:rFonts w:asciiTheme="majorBidi" w:hAnsiTheme="majorBidi" w:cstheme="majorBidi"/>
              </w:rPr>
              <w:t>;</w:t>
            </w:r>
          </w:p>
        </w:tc>
      </w:tr>
      <w:tr w:rsidR="00872617" w14:paraId="7E4C1065" w14:textId="77777777" w:rsidTr="00D250C6">
        <w:trPr>
          <w:trHeight w:val="884"/>
        </w:trPr>
        <w:tc>
          <w:tcPr>
            <w:tcW w:w="2055" w:type="dxa"/>
          </w:tcPr>
          <w:p w14:paraId="7171B689" w14:textId="77777777" w:rsidR="00872617" w:rsidRDefault="00872617" w:rsidP="00C8197E">
            <w:pPr>
              <w:rPr>
                <w:rFonts w:asciiTheme="majorBidi" w:hAnsiTheme="majorBidi" w:cstheme="majorBidi"/>
                <w:sz w:val="22"/>
                <w:szCs w:val="22"/>
              </w:rPr>
            </w:pPr>
          </w:p>
        </w:tc>
        <w:tc>
          <w:tcPr>
            <w:tcW w:w="627" w:type="dxa"/>
          </w:tcPr>
          <w:p w14:paraId="3274AA18" w14:textId="77777777" w:rsidR="00872617" w:rsidRDefault="00872617" w:rsidP="00C8197E">
            <w:pPr>
              <w:rPr>
                <w:rFonts w:asciiTheme="majorBidi" w:hAnsiTheme="majorBidi" w:cstheme="majorBidi"/>
                <w:sz w:val="22"/>
                <w:szCs w:val="22"/>
              </w:rPr>
            </w:pPr>
          </w:p>
        </w:tc>
        <w:tc>
          <w:tcPr>
            <w:tcW w:w="628" w:type="dxa"/>
          </w:tcPr>
          <w:p w14:paraId="40AE2C2B" w14:textId="62B3938D" w:rsidR="00872617" w:rsidRDefault="00982C57" w:rsidP="00C8197E">
            <w:pPr>
              <w:rPr>
                <w:rFonts w:asciiTheme="majorBidi" w:hAnsiTheme="majorBidi" w:cstheme="majorBidi"/>
                <w:sz w:val="22"/>
                <w:szCs w:val="22"/>
              </w:rPr>
            </w:pPr>
            <w:r>
              <w:rPr>
                <w:rFonts w:asciiTheme="majorBidi" w:hAnsiTheme="majorBidi" w:cstheme="majorBidi"/>
                <w:sz w:val="22"/>
                <w:szCs w:val="22"/>
              </w:rPr>
              <w:t>(b)</w:t>
            </w:r>
          </w:p>
        </w:tc>
        <w:tc>
          <w:tcPr>
            <w:tcW w:w="6619" w:type="dxa"/>
            <w:gridSpan w:val="3"/>
          </w:tcPr>
          <w:p w14:paraId="74E1321A" w14:textId="42F1DF76" w:rsidR="00872617" w:rsidRPr="00872617" w:rsidRDefault="00982C57" w:rsidP="000A724E">
            <w:pPr>
              <w:spacing w:line="360" w:lineRule="auto"/>
              <w:jc w:val="both"/>
              <w:rPr>
                <w:rFonts w:asciiTheme="majorBidi" w:hAnsiTheme="majorBidi" w:cstheme="majorBidi"/>
              </w:rPr>
            </w:pPr>
            <w:r w:rsidRPr="00982C57">
              <w:rPr>
                <w:rFonts w:asciiTheme="majorBidi" w:hAnsiTheme="majorBidi" w:cstheme="majorBidi"/>
              </w:rPr>
              <w:t xml:space="preserve">Unless otherwise directed by the Authority, </w:t>
            </w:r>
            <w:r w:rsidR="000A724E">
              <w:rPr>
                <w:rFonts w:asciiTheme="majorBidi" w:hAnsiTheme="majorBidi" w:cstheme="majorBidi"/>
              </w:rPr>
              <w:t xml:space="preserve">any </w:t>
            </w:r>
            <w:r w:rsidRPr="00982C57">
              <w:rPr>
                <w:rFonts w:asciiTheme="majorBidi" w:hAnsiTheme="majorBidi" w:cstheme="majorBidi"/>
              </w:rPr>
              <w:t>refunds to investors shall be completed within a period not exceeding</w:t>
            </w:r>
            <w:r w:rsidR="000A724E">
              <w:rPr>
                <w:rFonts w:asciiTheme="majorBidi" w:hAnsiTheme="majorBidi" w:cstheme="majorBidi"/>
              </w:rPr>
              <w:t xml:space="preserve"> 14</w:t>
            </w:r>
            <w:r w:rsidRPr="00982C57">
              <w:rPr>
                <w:rFonts w:asciiTheme="majorBidi" w:hAnsiTheme="majorBidi" w:cstheme="majorBidi"/>
              </w:rPr>
              <w:t xml:space="preserve"> </w:t>
            </w:r>
            <w:r w:rsidR="000A724E">
              <w:rPr>
                <w:rFonts w:asciiTheme="majorBidi" w:hAnsiTheme="majorBidi" w:cstheme="majorBidi"/>
              </w:rPr>
              <w:t>(</w:t>
            </w:r>
            <w:r w:rsidRPr="00982C57">
              <w:rPr>
                <w:rFonts w:asciiTheme="majorBidi" w:hAnsiTheme="majorBidi" w:cstheme="majorBidi"/>
              </w:rPr>
              <w:t>fourteen</w:t>
            </w:r>
            <w:r w:rsidR="000A724E">
              <w:rPr>
                <w:rFonts w:asciiTheme="majorBidi" w:hAnsiTheme="majorBidi" w:cstheme="majorBidi"/>
              </w:rPr>
              <w:t>)</w:t>
            </w:r>
            <w:r w:rsidRPr="00982C57">
              <w:rPr>
                <w:rFonts w:asciiTheme="majorBidi" w:hAnsiTheme="majorBidi" w:cstheme="majorBidi"/>
              </w:rPr>
              <w:t xml:space="preserve"> working days</w:t>
            </w:r>
            <w:r>
              <w:rPr>
                <w:rFonts w:asciiTheme="majorBidi" w:hAnsiTheme="majorBidi" w:cstheme="majorBidi"/>
              </w:rPr>
              <w:t>.</w:t>
            </w:r>
          </w:p>
        </w:tc>
      </w:tr>
      <w:tr w:rsidR="00872617" w14:paraId="4C041E65" w14:textId="77777777" w:rsidTr="00D250C6">
        <w:trPr>
          <w:trHeight w:val="884"/>
        </w:trPr>
        <w:tc>
          <w:tcPr>
            <w:tcW w:w="2055" w:type="dxa"/>
          </w:tcPr>
          <w:p w14:paraId="49A808AD" w14:textId="2F961242" w:rsidR="000A724E" w:rsidRPr="000A724E" w:rsidRDefault="000A724E" w:rsidP="000A724E">
            <w:pPr>
              <w:rPr>
                <w:rFonts w:asciiTheme="majorBidi" w:hAnsiTheme="majorBidi" w:cstheme="majorBidi"/>
                <w:sz w:val="22"/>
                <w:szCs w:val="22"/>
              </w:rPr>
            </w:pPr>
            <w:r w:rsidRPr="000A724E">
              <w:rPr>
                <w:rFonts w:asciiTheme="majorBidi" w:hAnsiTheme="majorBidi" w:cstheme="majorBidi"/>
                <w:sz w:val="22"/>
                <w:szCs w:val="22"/>
              </w:rPr>
              <w:t>Extension</w:t>
            </w:r>
            <w:r w:rsidR="00624D44">
              <w:rPr>
                <w:rFonts w:asciiTheme="majorBidi" w:hAnsiTheme="majorBidi" w:cstheme="majorBidi"/>
                <w:sz w:val="22"/>
                <w:szCs w:val="22"/>
              </w:rPr>
              <w:t xml:space="preserve"> of</w:t>
            </w:r>
            <w:r w:rsidRPr="000A724E">
              <w:rPr>
                <w:rFonts w:asciiTheme="majorBidi" w:hAnsiTheme="majorBidi" w:cstheme="majorBidi"/>
                <w:sz w:val="22"/>
                <w:szCs w:val="22"/>
              </w:rPr>
              <w:t xml:space="preserve"> the</w:t>
            </w:r>
            <w:r>
              <w:rPr>
                <w:rFonts w:asciiTheme="majorBidi" w:hAnsiTheme="majorBidi" w:cstheme="majorBidi"/>
                <w:sz w:val="22"/>
                <w:szCs w:val="22"/>
              </w:rPr>
              <w:t xml:space="preserve"> </w:t>
            </w:r>
            <w:r w:rsidRPr="000A724E">
              <w:rPr>
                <w:rFonts w:asciiTheme="majorBidi" w:hAnsiTheme="majorBidi" w:cstheme="majorBidi"/>
                <w:sz w:val="22"/>
                <w:szCs w:val="22"/>
              </w:rPr>
              <w:t>Testing Period</w:t>
            </w:r>
          </w:p>
          <w:p w14:paraId="471DE3C2" w14:textId="4AE3AA12" w:rsidR="00872617" w:rsidRDefault="00872617" w:rsidP="000A724E">
            <w:pPr>
              <w:rPr>
                <w:rFonts w:asciiTheme="majorBidi" w:hAnsiTheme="majorBidi" w:cstheme="majorBidi"/>
                <w:sz w:val="22"/>
                <w:szCs w:val="22"/>
              </w:rPr>
            </w:pPr>
          </w:p>
        </w:tc>
        <w:tc>
          <w:tcPr>
            <w:tcW w:w="627" w:type="dxa"/>
          </w:tcPr>
          <w:p w14:paraId="60B7670F" w14:textId="608C47A8" w:rsidR="00872617" w:rsidRDefault="008A1AA3" w:rsidP="00C8197E">
            <w:pPr>
              <w:rPr>
                <w:rFonts w:asciiTheme="majorBidi" w:hAnsiTheme="majorBidi" w:cstheme="majorBidi"/>
                <w:sz w:val="22"/>
                <w:szCs w:val="22"/>
              </w:rPr>
            </w:pPr>
            <w:r>
              <w:rPr>
                <w:rFonts w:asciiTheme="majorBidi" w:hAnsiTheme="majorBidi" w:cstheme="majorBidi"/>
                <w:sz w:val="22"/>
                <w:szCs w:val="22"/>
              </w:rPr>
              <w:t>16.</w:t>
            </w:r>
          </w:p>
        </w:tc>
        <w:tc>
          <w:tcPr>
            <w:tcW w:w="628" w:type="dxa"/>
          </w:tcPr>
          <w:p w14:paraId="76F9A5A1" w14:textId="7B3F5066" w:rsidR="00872617" w:rsidRDefault="008A1AA3" w:rsidP="00C8197E">
            <w:pPr>
              <w:rPr>
                <w:rFonts w:asciiTheme="majorBidi" w:hAnsiTheme="majorBidi" w:cstheme="majorBidi"/>
                <w:sz w:val="22"/>
                <w:szCs w:val="22"/>
              </w:rPr>
            </w:pPr>
            <w:r>
              <w:rPr>
                <w:rFonts w:asciiTheme="majorBidi" w:hAnsiTheme="majorBidi" w:cstheme="majorBidi"/>
                <w:sz w:val="22"/>
                <w:szCs w:val="22"/>
              </w:rPr>
              <w:t>(a)</w:t>
            </w:r>
          </w:p>
        </w:tc>
        <w:tc>
          <w:tcPr>
            <w:tcW w:w="6619" w:type="dxa"/>
            <w:gridSpan w:val="3"/>
          </w:tcPr>
          <w:p w14:paraId="62540301" w14:textId="6F1824FC" w:rsidR="00872617" w:rsidRPr="00872617" w:rsidRDefault="000A724E" w:rsidP="000A724E">
            <w:pPr>
              <w:spacing w:line="360" w:lineRule="auto"/>
              <w:jc w:val="both"/>
              <w:rPr>
                <w:rFonts w:asciiTheme="majorBidi" w:hAnsiTheme="majorBidi" w:cstheme="majorBidi"/>
              </w:rPr>
            </w:pPr>
            <w:r w:rsidRPr="000A724E">
              <w:rPr>
                <w:rFonts w:asciiTheme="majorBidi" w:hAnsiTheme="majorBidi" w:cstheme="majorBidi"/>
              </w:rPr>
              <w:t>A participant seeking an extension of the sandbox testing period shall submit a written request to the Authority at least fifteen (15) working days</w:t>
            </w:r>
            <w:r w:rsidR="00E73ED1">
              <w:rPr>
                <w:rFonts w:asciiTheme="majorBidi" w:hAnsiTheme="majorBidi" w:cstheme="majorBidi"/>
              </w:rPr>
              <w:t xml:space="preserve"> </w:t>
            </w:r>
            <w:r>
              <w:rPr>
                <w:rFonts w:asciiTheme="majorBidi" w:hAnsiTheme="majorBidi" w:cstheme="majorBidi"/>
              </w:rPr>
              <w:t>before the end</w:t>
            </w:r>
            <w:r w:rsidRPr="000A724E">
              <w:rPr>
                <w:rFonts w:asciiTheme="majorBidi" w:hAnsiTheme="majorBidi" w:cstheme="majorBidi"/>
              </w:rPr>
              <w:t xml:space="preserve"> of the pre-approved testing period</w:t>
            </w:r>
            <w:r>
              <w:rPr>
                <w:rFonts w:asciiTheme="majorBidi" w:hAnsiTheme="majorBidi" w:cstheme="majorBidi"/>
              </w:rPr>
              <w:t>.</w:t>
            </w:r>
          </w:p>
        </w:tc>
      </w:tr>
      <w:tr w:rsidR="00872617" w14:paraId="5DE0B729" w14:textId="77777777" w:rsidTr="00D250C6">
        <w:trPr>
          <w:trHeight w:val="884"/>
        </w:trPr>
        <w:tc>
          <w:tcPr>
            <w:tcW w:w="2055" w:type="dxa"/>
          </w:tcPr>
          <w:p w14:paraId="550EEB25" w14:textId="77777777" w:rsidR="00872617" w:rsidRDefault="00872617" w:rsidP="00C8197E">
            <w:pPr>
              <w:rPr>
                <w:rFonts w:asciiTheme="majorBidi" w:hAnsiTheme="majorBidi" w:cstheme="majorBidi"/>
                <w:sz w:val="22"/>
                <w:szCs w:val="22"/>
              </w:rPr>
            </w:pPr>
          </w:p>
        </w:tc>
        <w:tc>
          <w:tcPr>
            <w:tcW w:w="627" w:type="dxa"/>
          </w:tcPr>
          <w:p w14:paraId="385FDE35" w14:textId="77777777" w:rsidR="00872617" w:rsidRDefault="00872617" w:rsidP="00C8197E">
            <w:pPr>
              <w:rPr>
                <w:rFonts w:asciiTheme="majorBidi" w:hAnsiTheme="majorBidi" w:cstheme="majorBidi"/>
                <w:sz w:val="22"/>
                <w:szCs w:val="22"/>
              </w:rPr>
            </w:pPr>
          </w:p>
        </w:tc>
        <w:tc>
          <w:tcPr>
            <w:tcW w:w="628" w:type="dxa"/>
          </w:tcPr>
          <w:p w14:paraId="50DC6315" w14:textId="59633D31" w:rsidR="00872617" w:rsidRDefault="008A1AA3" w:rsidP="00C8197E">
            <w:pPr>
              <w:rPr>
                <w:rFonts w:asciiTheme="majorBidi" w:hAnsiTheme="majorBidi" w:cstheme="majorBidi"/>
                <w:sz w:val="22"/>
                <w:szCs w:val="22"/>
              </w:rPr>
            </w:pPr>
            <w:r>
              <w:rPr>
                <w:rFonts w:asciiTheme="majorBidi" w:hAnsiTheme="majorBidi" w:cstheme="majorBidi"/>
                <w:sz w:val="22"/>
                <w:szCs w:val="22"/>
              </w:rPr>
              <w:t>(b)</w:t>
            </w:r>
          </w:p>
        </w:tc>
        <w:tc>
          <w:tcPr>
            <w:tcW w:w="6619" w:type="dxa"/>
            <w:gridSpan w:val="3"/>
          </w:tcPr>
          <w:p w14:paraId="31D1EF93" w14:textId="703C0D29" w:rsidR="00872617" w:rsidRPr="00872617" w:rsidRDefault="008A1AA3" w:rsidP="008A1AA3">
            <w:pPr>
              <w:spacing w:line="360" w:lineRule="auto"/>
              <w:jc w:val="both"/>
              <w:rPr>
                <w:rFonts w:asciiTheme="majorBidi" w:hAnsiTheme="majorBidi" w:cstheme="majorBidi"/>
              </w:rPr>
            </w:pPr>
            <w:r w:rsidRPr="008A1AA3">
              <w:rPr>
                <w:rFonts w:asciiTheme="majorBidi" w:hAnsiTheme="majorBidi" w:cstheme="majorBidi"/>
              </w:rPr>
              <w:t>An application for an extension shall include the following information:</w:t>
            </w:r>
          </w:p>
        </w:tc>
      </w:tr>
      <w:tr w:rsidR="008A1AA3" w14:paraId="127B6BA1" w14:textId="77777777" w:rsidTr="008A1AA3">
        <w:trPr>
          <w:trHeight w:val="884"/>
        </w:trPr>
        <w:tc>
          <w:tcPr>
            <w:tcW w:w="2055" w:type="dxa"/>
          </w:tcPr>
          <w:p w14:paraId="10DF9B28" w14:textId="77777777" w:rsidR="008A1AA3" w:rsidRDefault="008A1AA3" w:rsidP="00C8197E">
            <w:pPr>
              <w:rPr>
                <w:rFonts w:asciiTheme="majorBidi" w:hAnsiTheme="majorBidi" w:cstheme="majorBidi"/>
                <w:sz w:val="22"/>
                <w:szCs w:val="22"/>
              </w:rPr>
            </w:pPr>
          </w:p>
        </w:tc>
        <w:tc>
          <w:tcPr>
            <w:tcW w:w="627" w:type="dxa"/>
          </w:tcPr>
          <w:p w14:paraId="6D4FF949" w14:textId="77777777" w:rsidR="008A1AA3" w:rsidRDefault="008A1AA3" w:rsidP="00C8197E">
            <w:pPr>
              <w:rPr>
                <w:rFonts w:asciiTheme="majorBidi" w:hAnsiTheme="majorBidi" w:cstheme="majorBidi"/>
                <w:sz w:val="22"/>
                <w:szCs w:val="22"/>
              </w:rPr>
            </w:pPr>
          </w:p>
        </w:tc>
        <w:tc>
          <w:tcPr>
            <w:tcW w:w="628" w:type="dxa"/>
          </w:tcPr>
          <w:p w14:paraId="301B68B8" w14:textId="77777777" w:rsidR="008A1AA3" w:rsidRDefault="008A1AA3" w:rsidP="00C8197E">
            <w:pPr>
              <w:rPr>
                <w:rFonts w:asciiTheme="majorBidi" w:hAnsiTheme="majorBidi" w:cstheme="majorBidi"/>
                <w:sz w:val="22"/>
                <w:szCs w:val="22"/>
              </w:rPr>
            </w:pPr>
          </w:p>
        </w:tc>
        <w:tc>
          <w:tcPr>
            <w:tcW w:w="555" w:type="dxa"/>
          </w:tcPr>
          <w:p w14:paraId="15637D32" w14:textId="5AEA2478" w:rsidR="008A1AA3" w:rsidRPr="00872617" w:rsidRDefault="008A1AA3" w:rsidP="00872617">
            <w:pPr>
              <w:rPr>
                <w:rFonts w:asciiTheme="majorBidi" w:hAnsiTheme="majorBidi" w:cstheme="majorBidi"/>
              </w:rPr>
            </w:pPr>
            <w:r>
              <w:rPr>
                <w:rFonts w:asciiTheme="majorBidi" w:hAnsiTheme="majorBidi" w:cstheme="majorBidi"/>
              </w:rPr>
              <w:t>(1)</w:t>
            </w:r>
          </w:p>
        </w:tc>
        <w:tc>
          <w:tcPr>
            <w:tcW w:w="6064" w:type="dxa"/>
            <w:gridSpan w:val="2"/>
          </w:tcPr>
          <w:p w14:paraId="268D36C8" w14:textId="2DC17CF5" w:rsidR="008A1AA3" w:rsidRPr="00872617" w:rsidRDefault="008A1AA3" w:rsidP="008A1AA3">
            <w:pPr>
              <w:spacing w:line="360" w:lineRule="auto"/>
              <w:jc w:val="both"/>
              <w:rPr>
                <w:rFonts w:asciiTheme="majorBidi" w:hAnsiTheme="majorBidi" w:cstheme="majorBidi"/>
              </w:rPr>
            </w:pPr>
            <w:r w:rsidRPr="008A1AA3">
              <w:rPr>
                <w:rFonts w:asciiTheme="majorBidi" w:hAnsiTheme="majorBidi" w:cstheme="majorBidi"/>
              </w:rPr>
              <w:t>A detailed explanation of the reasons for the extension request, including a description of progress achieved to date and the work remaining to meet the testing objectives</w:t>
            </w:r>
            <w:r>
              <w:rPr>
                <w:rFonts w:asciiTheme="majorBidi" w:hAnsiTheme="majorBidi" w:cstheme="majorBidi"/>
              </w:rPr>
              <w:t>;</w:t>
            </w:r>
          </w:p>
        </w:tc>
      </w:tr>
      <w:tr w:rsidR="008A1AA3" w14:paraId="17DC58A0" w14:textId="77777777" w:rsidTr="008A1AA3">
        <w:trPr>
          <w:trHeight w:val="884"/>
        </w:trPr>
        <w:tc>
          <w:tcPr>
            <w:tcW w:w="2055" w:type="dxa"/>
          </w:tcPr>
          <w:p w14:paraId="4334C256" w14:textId="77777777" w:rsidR="008A1AA3" w:rsidRDefault="008A1AA3" w:rsidP="00C8197E">
            <w:pPr>
              <w:rPr>
                <w:rFonts w:asciiTheme="majorBidi" w:hAnsiTheme="majorBidi" w:cstheme="majorBidi"/>
                <w:sz w:val="22"/>
                <w:szCs w:val="22"/>
              </w:rPr>
            </w:pPr>
          </w:p>
        </w:tc>
        <w:tc>
          <w:tcPr>
            <w:tcW w:w="627" w:type="dxa"/>
          </w:tcPr>
          <w:p w14:paraId="5A103CED" w14:textId="77777777" w:rsidR="008A1AA3" w:rsidRDefault="008A1AA3" w:rsidP="00C8197E">
            <w:pPr>
              <w:rPr>
                <w:rFonts w:asciiTheme="majorBidi" w:hAnsiTheme="majorBidi" w:cstheme="majorBidi"/>
                <w:sz w:val="22"/>
                <w:szCs w:val="22"/>
              </w:rPr>
            </w:pPr>
          </w:p>
        </w:tc>
        <w:tc>
          <w:tcPr>
            <w:tcW w:w="628" w:type="dxa"/>
          </w:tcPr>
          <w:p w14:paraId="3BFE2837" w14:textId="77777777" w:rsidR="008A1AA3" w:rsidRDefault="008A1AA3" w:rsidP="00C8197E">
            <w:pPr>
              <w:rPr>
                <w:rFonts w:asciiTheme="majorBidi" w:hAnsiTheme="majorBidi" w:cstheme="majorBidi"/>
                <w:sz w:val="22"/>
                <w:szCs w:val="22"/>
              </w:rPr>
            </w:pPr>
          </w:p>
        </w:tc>
        <w:tc>
          <w:tcPr>
            <w:tcW w:w="555" w:type="dxa"/>
          </w:tcPr>
          <w:p w14:paraId="205990D6" w14:textId="21F20AFD" w:rsidR="008A1AA3" w:rsidRDefault="008A1AA3" w:rsidP="00872617">
            <w:pPr>
              <w:rPr>
                <w:rFonts w:asciiTheme="majorBidi" w:hAnsiTheme="majorBidi" w:cstheme="majorBidi"/>
              </w:rPr>
            </w:pPr>
            <w:r>
              <w:rPr>
                <w:rFonts w:asciiTheme="majorBidi" w:hAnsiTheme="majorBidi" w:cstheme="majorBidi"/>
              </w:rPr>
              <w:t>(2)</w:t>
            </w:r>
          </w:p>
        </w:tc>
        <w:tc>
          <w:tcPr>
            <w:tcW w:w="6064" w:type="dxa"/>
            <w:gridSpan w:val="2"/>
          </w:tcPr>
          <w:p w14:paraId="271626D4" w14:textId="21891632" w:rsidR="008A1AA3" w:rsidRPr="00872617" w:rsidRDefault="008A1AA3" w:rsidP="008A1AA3">
            <w:pPr>
              <w:spacing w:line="360" w:lineRule="auto"/>
              <w:jc w:val="both"/>
              <w:rPr>
                <w:rFonts w:asciiTheme="majorBidi" w:hAnsiTheme="majorBidi" w:cstheme="majorBidi"/>
              </w:rPr>
            </w:pPr>
            <w:r w:rsidRPr="008A1AA3">
              <w:rPr>
                <w:rFonts w:asciiTheme="majorBidi" w:hAnsiTheme="majorBidi" w:cstheme="majorBidi"/>
              </w:rPr>
              <w:t>An updated timeline, specifying new deadlines for the completion of testing, as well as for the implementation of the exit or withdrawal plan</w:t>
            </w:r>
            <w:r>
              <w:rPr>
                <w:rFonts w:asciiTheme="majorBidi" w:hAnsiTheme="majorBidi" w:cstheme="majorBidi"/>
              </w:rPr>
              <w:t>;</w:t>
            </w:r>
          </w:p>
        </w:tc>
      </w:tr>
      <w:tr w:rsidR="008A1AA3" w14:paraId="18C6024F" w14:textId="77777777" w:rsidTr="008A1AA3">
        <w:trPr>
          <w:trHeight w:val="884"/>
        </w:trPr>
        <w:tc>
          <w:tcPr>
            <w:tcW w:w="2055" w:type="dxa"/>
          </w:tcPr>
          <w:p w14:paraId="3D7A743A" w14:textId="77777777" w:rsidR="008A1AA3" w:rsidRDefault="008A1AA3" w:rsidP="00C8197E">
            <w:pPr>
              <w:rPr>
                <w:rFonts w:asciiTheme="majorBidi" w:hAnsiTheme="majorBidi" w:cstheme="majorBidi"/>
                <w:sz w:val="22"/>
                <w:szCs w:val="22"/>
              </w:rPr>
            </w:pPr>
          </w:p>
        </w:tc>
        <w:tc>
          <w:tcPr>
            <w:tcW w:w="627" w:type="dxa"/>
          </w:tcPr>
          <w:p w14:paraId="1DC9AA1E" w14:textId="77777777" w:rsidR="008A1AA3" w:rsidRDefault="008A1AA3" w:rsidP="00C8197E">
            <w:pPr>
              <w:rPr>
                <w:rFonts w:asciiTheme="majorBidi" w:hAnsiTheme="majorBidi" w:cstheme="majorBidi"/>
                <w:sz w:val="22"/>
                <w:szCs w:val="22"/>
              </w:rPr>
            </w:pPr>
          </w:p>
        </w:tc>
        <w:tc>
          <w:tcPr>
            <w:tcW w:w="628" w:type="dxa"/>
          </w:tcPr>
          <w:p w14:paraId="5C8FFA98" w14:textId="77777777" w:rsidR="008A1AA3" w:rsidRDefault="008A1AA3" w:rsidP="00C8197E">
            <w:pPr>
              <w:rPr>
                <w:rFonts w:asciiTheme="majorBidi" w:hAnsiTheme="majorBidi" w:cstheme="majorBidi"/>
                <w:sz w:val="22"/>
                <w:szCs w:val="22"/>
              </w:rPr>
            </w:pPr>
          </w:p>
        </w:tc>
        <w:tc>
          <w:tcPr>
            <w:tcW w:w="555" w:type="dxa"/>
          </w:tcPr>
          <w:p w14:paraId="1A8D6DD1" w14:textId="0B1C1F3A" w:rsidR="008A1AA3" w:rsidRDefault="008A1AA3" w:rsidP="00872617">
            <w:pPr>
              <w:rPr>
                <w:rFonts w:asciiTheme="majorBidi" w:hAnsiTheme="majorBidi" w:cstheme="majorBidi"/>
              </w:rPr>
            </w:pPr>
            <w:r>
              <w:rPr>
                <w:rFonts w:asciiTheme="majorBidi" w:hAnsiTheme="majorBidi" w:cstheme="majorBidi"/>
              </w:rPr>
              <w:t>(3)</w:t>
            </w:r>
          </w:p>
        </w:tc>
        <w:tc>
          <w:tcPr>
            <w:tcW w:w="6064" w:type="dxa"/>
            <w:gridSpan w:val="2"/>
          </w:tcPr>
          <w:p w14:paraId="3EBAA12D" w14:textId="56DC0B1A" w:rsidR="008A1AA3" w:rsidRPr="00142A4E" w:rsidRDefault="00142A4E" w:rsidP="00142A4E">
            <w:pPr>
              <w:spacing w:line="360" w:lineRule="auto"/>
              <w:jc w:val="both"/>
              <w:rPr>
                <w:rFonts w:asciiTheme="majorBidi" w:hAnsiTheme="majorBidi" w:cstheme="majorBidi"/>
              </w:rPr>
            </w:pPr>
            <w:r w:rsidRPr="00142A4E">
              <w:rPr>
                <w:rFonts w:asciiTheme="majorBidi" w:hAnsiTheme="majorBidi" w:cstheme="majorBidi"/>
              </w:rPr>
              <w:t>Details of the potential impact of the extension on investors, including any associated risks and the measures proposed to mitigate them.</w:t>
            </w:r>
            <w:r>
              <w:rPr>
                <w:rFonts w:asciiTheme="majorBidi" w:hAnsiTheme="majorBidi" w:cstheme="majorBidi"/>
              </w:rPr>
              <w:t xml:space="preserve"> </w:t>
            </w:r>
          </w:p>
        </w:tc>
      </w:tr>
      <w:tr w:rsidR="00872617" w14:paraId="739B61CF" w14:textId="77777777" w:rsidTr="00D250C6">
        <w:trPr>
          <w:trHeight w:val="884"/>
        </w:trPr>
        <w:tc>
          <w:tcPr>
            <w:tcW w:w="2055" w:type="dxa"/>
          </w:tcPr>
          <w:p w14:paraId="23DCB237" w14:textId="77777777" w:rsidR="00872617" w:rsidRDefault="00872617" w:rsidP="00C8197E">
            <w:pPr>
              <w:rPr>
                <w:rFonts w:asciiTheme="majorBidi" w:hAnsiTheme="majorBidi" w:cstheme="majorBidi"/>
                <w:sz w:val="22"/>
                <w:szCs w:val="22"/>
              </w:rPr>
            </w:pPr>
          </w:p>
        </w:tc>
        <w:tc>
          <w:tcPr>
            <w:tcW w:w="627" w:type="dxa"/>
          </w:tcPr>
          <w:p w14:paraId="64ADC0B2" w14:textId="77777777" w:rsidR="00872617" w:rsidRDefault="00872617" w:rsidP="00C8197E">
            <w:pPr>
              <w:rPr>
                <w:rFonts w:asciiTheme="majorBidi" w:hAnsiTheme="majorBidi" w:cstheme="majorBidi"/>
                <w:sz w:val="22"/>
                <w:szCs w:val="22"/>
              </w:rPr>
            </w:pPr>
          </w:p>
        </w:tc>
        <w:tc>
          <w:tcPr>
            <w:tcW w:w="628" w:type="dxa"/>
          </w:tcPr>
          <w:p w14:paraId="78C648E6" w14:textId="11D64934" w:rsidR="00872617" w:rsidRPr="00142A4E" w:rsidRDefault="00142A4E" w:rsidP="00C8197E">
            <w:pPr>
              <w:rPr>
                <w:rFonts w:asciiTheme="majorBidi" w:hAnsiTheme="majorBidi" w:cs="MV Boli"/>
                <w:sz w:val="22"/>
                <w:szCs w:val="22"/>
                <w:lang w:bidi="dv-MV"/>
              </w:rPr>
            </w:pPr>
            <w:r>
              <w:rPr>
                <w:rFonts w:asciiTheme="majorBidi" w:hAnsiTheme="majorBidi" w:cs="MV Boli"/>
                <w:sz w:val="22"/>
                <w:szCs w:val="22"/>
                <w:lang w:bidi="dv-MV"/>
              </w:rPr>
              <w:t>(c)</w:t>
            </w:r>
          </w:p>
        </w:tc>
        <w:tc>
          <w:tcPr>
            <w:tcW w:w="6619" w:type="dxa"/>
            <w:gridSpan w:val="3"/>
          </w:tcPr>
          <w:p w14:paraId="69E79065" w14:textId="0C9681DB" w:rsidR="00872617" w:rsidRPr="00872617" w:rsidRDefault="00142A4E" w:rsidP="00142A4E">
            <w:pPr>
              <w:spacing w:line="360" w:lineRule="auto"/>
              <w:jc w:val="both"/>
              <w:rPr>
                <w:rFonts w:asciiTheme="majorBidi" w:hAnsiTheme="majorBidi" w:cstheme="majorBidi"/>
              </w:rPr>
            </w:pPr>
            <w:r w:rsidRPr="00142A4E">
              <w:rPr>
                <w:rFonts w:asciiTheme="majorBidi" w:hAnsiTheme="majorBidi" w:cstheme="majorBidi"/>
              </w:rPr>
              <w:t xml:space="preserve">The Authority reserves the right to grant or deny an extension of the </w:t>
            </w:r>
            <w:r>
              <w:rPr>
                <w:rFonts w:asciiTheme="majorBidi" w:hAnsiTheme="majorBidi" w:cstheme="majorBidi"/>
              </w:rPr>
              <w:t>testing period</w:t>
            </w:r>
            <w:r w:rsidRPr="00142A4E">
              <w:rPr>
                <w:rFonts w:asciiTheme="majorBidi" w:hAnsiTheme="majorBidi" w:cstheme="majorBidi"/>
              </w:rPr>
              <w:t>, or to grant an extension subject to specific conditions, based on the information submitted.</w:t>
            </w:r>
          </w:p>
        </w:tc>
      </w:tr>
      <w:tr w:rsidR="00872617" w14:paraId="2C31A3F2" w14:textId="77777777" w:rsidTr="00D250C6">
        <w:trPr>
          <w:trHeight w:val="884"/>
        </w:trPr>
        <w:tc>
          <w:tcPr>
            <w:tcW w:w="2055" w:type="dxa"/>
          </w:tcPr>
          <w:p w14:paraId="54D088BF" w14:textId="2C99B619" w:rsidR="00872617" w:rsidRDefault="00142A4E" w:rsidP="00142A4E">
            <w:pPr>
              <w:rPr>
                <w:rFonts w:asciiTheme="majorBidi" w:hAnsiTheme="majorBidi" w:cstheme="majorBidi"/>
                <w:sz w:val="22"/>
                <w:szCs w:val="22"/>
              </w:rPr>
            </w:pPr>
            <w:r w:rsidRPr="00142A4E">
              <w:rPr>
                <w:rFonts w:asciiTheme="majorBidi" w:hAnsiTheme="majorBidi" w:cstheme="majorBidi"/>
                <w:sz w:val="22"/>
                <w:szCs w:val="22"/>
              </w:rPr>
              <w:t>Implementation of the Exit or Withdrawal Plan</w:t>
            </w:r>
          </w:p>
        </w:tc>
        <w:tc>
          <w:tcPr>
            <w:tcW w:w="627" w:type="dxa"/>
          </w:tcPr>
          <w:p w14:paraId="5F1ADC21" w14:textId="1DF59BA9" w:rsidR="00872617" w:rsidRDefault="00142A4E" w:rsidP="00C8197E">
            <w:pPr>
              <w:rPr>
                <w:rFonts w:asciiTheme="majorBidi" w:hAnsiTheme="majorBidi" w:cstheme="majorBidi"/>
                <w:sz w:val="22"/>
                <w:szCs w:val="22"/>
              </w:rPr>
            </w:pPr>
            <w:r>
              <w:rPr>
                <w:rFonts w:asciiTheme="majorBidi" w:hAnsiTheme="majorBidi" w:cstheme="majorBidi"/>
                <w:sz w:val="22"/>
                <w:szCs w:val="22"/>
              </w:rPr>
              <w:t>17.</w:t>
            </w:r>
          </w:p>
        </w:tc>
        <w:tc>
          <w:tcPr>
            <w:tcW w:w="628" w:type="dxa"/>
          </w:tcPr>
          <w:p w14:paraId="247BC88A" w14:textId="3D514BB0" w:rsidR="00872617" w:rsidRDefault="00142A4E" w:rsidP="00C8197E">
            <w:pPr>
              <w:rPr>
                <w:rFonts w:asciiTheme="majorBidi" w:hAnsiTheme="majorBidi" w:cstheme="majorBidi"/>
                <w:sz w:val="22"/>
                <w:szCs w:val="22"/>
              </w:rPr>
            </w:pPr>
            <w:r>
              <w:rPr>
                <w:rFonts w:asciiTheme="majorBidi" w:hAnsiTheme="majorBidi" w:cstheme="majorBidi"/>
                <w:sz w:val="22"/>
                <w:szCs w:val="22"/>
              </w:rPr>
              <w:t>(a)</w:t>
            </w:r>
          </w:p>
        </w:tc>
        <w:tc>
          <w:tcPr>
            <w:tcW w:w="6619" w:type="dxa"/>
            <w:gridSpan w:val="3"/>
          </w:tcPr>
          <w:p w14:paraId="3BC914D9" w14:textId="21798F54" w:rsidR="00872617" w:rsidRPr="00872617" w:rsidRDefault="00142A4E" w:rsidP="00142A4E">
            <w:pPr>
              <w:spacing w:line="360" w:lineRule="auto"/>
              <w:jc w:val="both"/>
              <w:rPr>
                <w:rFonts w:asciiTheme="majorBidi" w:hAnsiTheme="majorBidi" w:cstheme="majorBidi"/>
              </w:rPr>
            </w:pPr>
            <w:r w:rsidRPr="00142A4E">
              <w:rPr>
                <w:rFonts w:asciiTheme="majorBidi" w:hAnsiTheme="majorBidi" w:cstheme="majorBidi"/>
              </w:rPr>
              <w:t>At any stage of the sandbox, the Authority may require participants to review and amend their exit or withdrawal plan.</w:t>
            </w:r>
          </w:p>
        </w:tc>
      </w:tr>
      <w:tr w:rsidR="00872617" w14:paraId="46784FA6" w14:textId="77777777" w:rsidTr="00D250C6">
        <w:trPr>
          <w:trHeight w:val="884"/>
        </w:trPr>
        <w:tc>
          <w:tcPr>
            <w:tcW w:w="2055" w:type="dxa"/>
          </w:tcPr>
          <w:p w14:paraId="076B4FF6" w14:textId="77777777" w:rsidR="00872617" w:rsidRDefault="00872617" w:rsidP="00C8197E">
            <w:pPr>
              <w:rPr>
                <w:rFonts w:asciiTheme="majorBidi" w:hAnsiTheme="majorBidi" w:cstheme="majorBidi"/>
                <w:sz w:val="22"/>
                <w:szCs w:val="22"/>
              </w:rPr>
            </w:pPr>
          </w:p>
        </w:tc>
        <w:tc>
          <w:tcPr>
            <w:tcW w:w="627" w:type="dxa"/>
          </w:tcPr>
          <w:p w14:paraId="3AE74A10" w14:textId="77777777" w:rsidR="00872617" w:rsidRDefault="00872617" w:rsidP="00C8197E">
            <w:pPr>
              <w:rPr>
                <w:rFonts w:asciiTheme="majorBidi" w:hAnsiTheme="majorBidi" w:cstheme="majorBidi"/>
                <w:sz w:val="22"/>
                <w:szCs w:val="22"/>
              </w:rPr>
            </w:pPr>
          </w:p>
        </w:tc>
        <w:tc>
          <w:tcPr>
            <w:tcW w:w="628" w:type="dxa"/>
          </w:tcPr>
          <w:p w14:paraId="56111C68" w14:textId="1767B256" w:rsidR="00872617" w:rsidRDefault="00142A4E" w:rsidP="00C8197E">
            <w:pPr>
              <w:rPr>
                <w:rFonts w:asciiTheme="majorBidi" w:hAnsiTheme="majorBidi" w:cstheme="majorBidi"/>
                <w:sz w:val="22"/>
                <w:szCs w:val="22"/>
              </w:rPr>
            </w:pPr>
            <w:r>
              <w:rPr>
                <w:rFonts w:asciiTheme="majorBidi" w:hAnsiTheme="majorBidi" w:cstheme="majorBidi"/>
                <w:sz w:val="22"/>
                <w:szCs w:val="22"/>
              </w:rPr>
              <w:t>(b)</w:t>
            </w:r>
          </w:p>
        </w:tc>
        <w:tc>
          <w:tcPr>
            <w:tcW w:w="6619" w:type="dxa"/>
            <w:gridSpan w:val="3"/>
          </w:tcPr>
          <w:p w14:paraId="697B9E64" w14:textId="5BBB1D71" w:rsidR="00872617" w:rsidRPr="00872617" w:rsidRDefault="00142A4E" w:rsidP="00142A4E">
            <w:pPr>
              <w:spacing w:line="360" w:lineRule="auto"/>
              <w:jc w:val="both"/>
              <w:rPr>
                <w:rFonts w:asciiTheme="majorBidi" w:hAnsiTheme="majorBidi" w:cstheme="majorBidi"/>
              </w:rPr>
            </w:pPr>
            <w:r w:rsidRPr="00142A4E">
              <w:rPr>
                <w:rFonts w:asciiTheme="majorBidi" w:hAnsiTheme="majorBidi" w:cstheme="majorBidi"/>
              </w:rPr>
              <w:t>All exit or withdrawal processes shall be conducted in a transparent and robust manner to minimize any adverse impact on investors and the financial market.</w:t>
            </w:r>
          </w:p>
        </w:tc>
      </w:tr>
      <w:tr w:rsidR="00872617" w14:paraId="3EF1307D" w14:textId="77777777" w:rsidTr="00D250C6">
        <w:trPr>
          <w:trHeight w:val="884"/>
        </w:trPr>
        <w:tc>
          <w:tcPr>
            <w:tcW w:w="2055" w:type="dxa"/>
          </w:tcPr>
          <w:p w14:paraId="10946DAC" w14:textId="77777777" w:rsidR="00872617" w:rsidRDefault="00872617" w:rsidP="00C8197E">
            <w:pPr>
              <w:rPr>
                <w:rFonts w:asciiTheme="majorBidi" w:hAnsiTheme="majorBidi" w:cstheme="majorBidi"/>
                <w:sz w:val="22"/>
                <w:szCs w:val="22"/>
              </w:rPr>
            </w:pPr>
          </w:p>
        </w:tc>
        <w:tc>
          <w:tcPr>
            <w:tcW w:w="627" w:type="dxa"/>
          </w:tcPr>
          <w:p w14:paraId="29401536" w14:textId="77777777" w:rsidR="00872617" w:rsidRDefault="00872617" w:rsidP="00C8197E">
            <w:pPr>
              <w:rPr>
                <w:rFonts w:asciiTheme="majorBidi" w:hAnsiTheme="majorBidi" w:cstheme="majorBidi"/>
                <w:sz w:val="22"/>
                <w:szCs w:val="22"/>
              </w:rPr>
            </w:pPr>
          </w:p>
        </w:tc>
        <w:tc>
          <w:tcPr>
            <w:tcW w:w="628" w:type="dxa"/>
          </w:tcPr>
          <w:p w14:paraId="1A7A7529" w14:textId="4D26B4CC" w:rsidR="00872617" w:rsidRDefault="00142A4E" w:rsidP="00C8197E">
            <w:pPr>
              <w:rPr>
                <w:rFonts w:asciiTheme="majorBidi" w:hAnsiTheme="majorBidi" w:cstheme="majorBidi"/>
                <w:sz w:val="22"/>
                <w:szCs w:val="22"/>
              </w:rPr>
            </w:pPr>
            <w:r>
              <w:rPr>
                <w:rFonts w:asciiTheme="majorBidi" w:hAnsiTheme="majorBidi" w:cstheme="majorBidi"/>
                <w:sz w:val="22"/>
                <w:szCs w:val="22"/>
              </w:rPr>
              <w:t>(c)</w:t>
            </w:r>
          </w:p>
        </w:tc>
        <w:tc>
          <w:tcPr>
            <w:tcW w:w="6619" w:type="dxa"/>
            <w:gridSpan w:val="3"/>
          </w:tcPr>
          <w:p w14:paraId="66ED76BD" w14:textId="41DFF4D1" w:rsidR="00872617" w:rsidRPr="00872617" w:rsidRDefault="00142A4E" w:rsidP="00142A4E">
            <w:pPr>
              <w:spacing w:line="360" w:lineRule="auto"/>
              <w:jc w:val="both"/>
              <w:rPr>
                <w:rFonts w:asciiTheme="majorBidi" w:hAnsiTheme="majorBidi" w:cstheme="majorBidi"/>
              </w:rPr>
            </w:pPr>
            <w:r w:rsidRPr="00142A4E">
              <w:rPr>
                <w:rFonts w:asciiTheme="majorBidi" w:hAnsiTheme="majorBidi" w:cstheme="majorBidi"/>
              </w:rPr>
              <w:t>If the Authority determines that a product or service tested in the sandbox is not sufficiently market-ready, it shall notify the sandbox participant in writing and initiate the withdrawal of the product or service from the sandbox.</w:t>
            </w:r>
          </w:p>
        </w:tc>
      </w:tr>
      <w:tr w:rsidR="00142A4E" w14:paraId="2BC20EF1" w14:textId="77777777" w:rsidTr="00F823AD">
        <w:trPr>
          <w:trHeight w:val="884"/>
        </w:trPr>
        <w:tc>
          <w:tcPr>
            <w:tcW w:w="9929" w:type="dxa"/>
            <w:gridSpan w:val="6"/>
          </w:tcPr>
          <w:p w14:paraId="040AB062" w14:textId="77777777" w:rsidR="00142A4E" w:rsidRDefault="00142A4E" w:rsidP="00872617">
            <w:pPr>
              <w:rPr>
                <w:rFonts w:asciiTheme="majorBidi" w:hAnsiTheme="majorBidi" w:cstheme="majorBidi"/>
              </w:rPr>
            </w:pPr>
          </w:p>
          <w:p w14:paraId="26A64FCB" w14:textId="77777777" w:rsidR="00142A4E" w:rsidRPr="00142A4E" w:rsidRDefault="00142A4E" w:rsidP="00142A4E">
            <w:pPr>
              <w:jc w:val="center"/>
              <w:rPr>
                <w:rFonts w:asciiTheme="majorBidi" w:hAnsiTheme="majorBidi" w:cstheme="majorBidi"/>
                <w:b/>
                <w:bCs/>
              </w:rPr>
            </w:pPr>
            <w:r w:rsidRPr="00142A4E">
              <w:rPr>
                <w:rFonts w:asciiTheme="majorBidi" w:hAnsiTheme="majorBidi" w:cstheme="majorBidi"/>
                <w:b/>
                <w:bCs/>
              </w:rPr>
              <w:t>Chapter 7</w:t>
            </w:r>
          </w:p>
          <w:p w14:paraId="0C892BAE" w14:textId="77777777" w:rsidR="00142A4E" w:rsidRPr="00142A4E" w:rsidRDefault="00142A4E" w:rsidP="00142A4E">
            <w:pPr>
              <w:jc w:val="center"/>
              <w:rPr>
                <w:rFonts w:asciiTheme="majorBidi" w:hAnsiTheme="majorBidi" w:cstheme="majorBidi"/>
                <w:b/>
                <w:bCs/>
              </w:rPr>
            </w:pPr>
          </w:p>
          <w:p w14:paraId="3A652ED5" w14:textId="77777777" w:rsidR="00142A4E" w:rsidRPr="00142A4E" w:rsidRDefault="00142A4E" w:rsidP="00142A4E">
            <w:pPr>
              <w:jc w:val="center"/>
              <w:rPr>
                <w:rFonts w:asciiTheme="majorBidi" w:hAnsiTheme="majorBidi" w:cstheme="majorBidi"/>
                <w:b/>
                <w:bCs/>
              </w:rPr>
            </w:pPr>
            <w:r w:rsidRPr="00142A4E">
              <w:rPr>
                <w:rFonts w:asciiTheme="majorBidi" w:hAnsiTheme="majorBidi" w:cstheme="majorBidi"/>
                <w:b/>
                <w:bCs/>
              </w:rPr>
              <w:t xml:space="preserve">Miscellaneous </w:t>
            </w:r>
          </w:p>
          <w:p w14:paraId="2EE1E95B" w14:textId="1C09CB74" w:rsidR="00142A4E" w:rsidRPr="00872617" w:rsidRDefault="00142A4E" w:rsidP="00142A4E">
            <w:pPr>
              <w:jc w:val="center"/>
              <w:rPr>
                <w:rFonts w:asciiTheme="majorBidi" w:hAnsiTheme="majorBidi" w:cstheme="majorBidi"/>
              </w:rPr>
            </w:pPr>
          </w:p>
        </w:tc>
      </w:tr>
      <w:tr w:rsidR="00872617" w14:paraId="543E1F9B" w14:textId="77777777" w:rsidTr="00D250C6">
        <w:trPr>
          <w:trHeight w:val="884"/>
        </w:trPr>
        <w:tc>
          <w:tcPr>
            <w:tcW w:w="2055" w:type="dxa"/>
          </w:tcPr>
          <w:p w14:paraId="57E7BC24" w14:textId="1046431B" w:rsidR="00C56918" w:rsidRPr="00C56918" w:rsidRDefault="00C56918" w:rsidP="00C56918">
            <w:pPr>
              <w:rPr>
                <w:rFonts w:asciiTheme="majorBidi" w:hAnsiTheme="majorBidi" w:cstheme="majorBidi"/>
                <w:sz w:val="22"/>
                <w:szCs w:val="22"/>
              </w:rPr>
            </w:pPr>
            <w:r w:rsidRPr="00C56918">
              <w:rPr>
                <w:rFonts w:asciiTheme="majorBidi" w:hAnsiTheme="majorBidi" w:cstheme="majorBidi"/>
                <w:sz w:val="22"/>
                <w:szCs w:val="22"/>
              </w:rPr>
              <w:t>Submission of Previously Submitted or Related Sandbox Applications</w:t>
            </w:r>
          </w:p>
          <w:p w14:paraId="4EC406F2" w14:textId="16015452" w:rsidR="00872617" w:rsidRDefault="00C56918" w:rsidP="00C56918">
            <w:pPr>
              <w:rPr>
                <w:rFonts w:asciiTheme="majorBidi" w:hAnsiTheme="majorBidi" w:cstheme="majorBidi"/>
                <w:sz w:val="22"/>
                <w:szCs w:val="22"/>
              </w:rPr>
            </w:pPr>
            <w:r>
              <w:rPr>
                <w:rFonts w:asciiTheme="majorBidi" w:hAnsiTheme="majorBidi" w:cstheme="majorBidi"/>
                <w:sz w:val="22"/>
                <w:szCs w:val="22"/>
              </w:rPr>
              <w:t>(Cooling-off period)</w:t>
            </w:r>
          </w:p>
        </w:tc>
        <w:tc>
          <w:tcPr>
            <w:tcW w:w="627" w:type="dxa"/>
          </w:tcPr>
          <w:p w14:paraId="514B521F" w14:textId="3459E1F1" w:rsidR="00872617" w:rsidRDefault="00C56918" w:rsidP="00C8197E">
            <w:pPr>
              <w:rPr>
                <w:rFonts w:asciiTheme="majorBidi" w:hAnsiTheme="majorBidi" w:cstheme="majorBidi"/>
                <w:sz w:val="22"/>
                <w:szCs w:val="22"/>
              </w:rPr>
            </w:pPr>
            <w:r>
              <w:rPr>
                <w:rFonts w:asciiTheme="majorBidi" w:hAnsiTheme="majorBidi" w:cstheme="majorBidi"/>
                <w:sz w:val="22"/>
                <w:szCs w:val="22"/>
              </w:rPr>
              <w:t>18.</w:t>
            </w:r>
          </w:p>
        </w:tc>
        <w:tc>
          <w:tcPr>
            <w:tcW w:w="628" w:type="dxa"/>
          </w:tcPr>
          <w:p w14:paraId="519A51CB" w14:textId="64E92AFA" w:rsidR="00872617" w:rsidRDefault="00C56918" w:rsidP="00C8197E">
            <w:pPr>
              <w:rPr>
                <w:rFonts w:asciiTheme="majorBidi" w:hAnsiTheme="majorBidi" w:cstheme="majorBidi"/>
                <w:sz w:val="22"/>
                <w:szCs w:val="22"/>
              </w:rPr>
            </w:pPr>
            <w:r>
              <w:rPr>
                <w:rFonts w:asciiTheme="majorBidi" w:hAnsiTheme="majorBidi" w:cstheme="majorBidi"/>
                <w:sz w:val="22"/>
                <w:szCs w:val="22"/>
              </w:rPr>
              <w:t>(a)</w:t>
            </w:r>
          </w:p>
        </w:tc>
        <w:tc>
          <w:tcPr>
            <w:tcW w:w="6619" w:type="dxa"/>
            <w:gridSpan w:val="3"/>
          </w:tcPr>
          <w:p w14:paraId="2840AD1E" w14:textId="3208024B" w:rsidR="00872617" w:rsidRPr="00872617" w:rsidRDefault="00C56918" w:rsidP="00C56918">
            <w:pPr>
              <w:spacing w:line="360" w:lineRule="auto"/>
              <w:jc w:val="both"/>
              <w:rPr>
                <w:rFonts w:asciiTheme="majorBidi" w:hAnsiTheme="majorBidi" w:cstheme="majorBidi"/>
              </w:rPr>
            </w:pPr>
            <w:r w:rsidRPr="00C56918">
              <w:rPr>
                <w:rFonts w:asciiTheme="majorBidi" w:hAnsiTheme="majorBidi" w:cstheme="majorBidi"/>
              </w:rPr>
              <w:t>An applicant whose sandbox application has been rejected, withdrawn, or removed from sandbox testing may submit a resubmission for the same proposal only after three (3) months have elapsed from the date of the Authority’s most recent decision.</w:t>
            </w:r>
          </w:p>
        </w:tc>
      </w:tr>
      <w:tr w:rsidR="00142A4E" w14:paraId="5A1D428C" w14:textId="77777777" w:rsidTr="00D250C6">
        <w:trPr>
          <w:trHeight w:val="884"/>
        </w:trPr>
        <w:tc>
          <w:tcPr>
            <w:tcW w:w="2055" w:type="dxa"/>
          </w:tcPr>
          <w:p w14:paraId="70CC02AA" w14:textId="77777777" w:rsidR="00142A4E" w:rsidRDefault="00142A4E" w:rsidP="00C8197E">
            <w:pPr>
              <w:rPr>
                <w:rFonts w:asciiTheme="majorBidi" w:hAnsiTheme="majorBidi" w:cstheme="majorBidi"/>
                <w:sz w:val="22"/>
                <w:szCs w:val="22"/>
              </w:rPr>
            </w:pPr>
          </w:p>
        </w:tc>
        <w:tc>
          <w:tcPr>
            <w:tcW w:w="627" w:type="dxa"/>
          </w:tcPr>
          <w:p w14:paraId="5D8F1FBA" w14:textId="77777777" w:rsidR="00142A4E" w:rsidRDefault="00142A4E" w:rsidP="00C8197E">
            <w:pPr>
              <w:rPr>
                <w:rFonts w:asciiTheme="majorBidi" w:hAnsiTheme="majorBidi" w:cstheme="majorBidi"/>
                <w:sz w:val="22"/>
                <w:szCs w:val="22"/>
              </w:rPr>
            </w:pPr>
          </w:p>
        </w:tc>
        <w:tc>
          <w:tcPr>
            <w:tcW w:w="628" w:type="dxa"/>
          </w:tcPr>
          <w:p w14:paraId="56C11908" w14:textId="79AEAB78" w:rsidR="00142A4E" w:rsidRDefault="00C56918" w:rsidP="00C8197E">
            <w:pPr>
              <w:rPr>
                <w:rFonts w:asciiTheme="majorBidi" w:hAnsiTheme="majorBidi" w:cstheme="majorBidi"/>
                <w:sz w:val="22"/>
                <w:szCs w:val="22"/>
              </w:rPr>
            </w:pPr>
            <w:r>
              <w:rPr>
                <w:rFonts w:asciiTheme="majorBidi" w:hAnsiTheme="majorBidi" w:cstheme="majorBidi"/>
                <w:sz w:val="22"/>
                <w:szCs w:val="22"/>
              </w:rPr>
              <w:t>(b)</w:t>
            </w:r>
          </w:p>
        </w:tc>
        <w:tc>
          <w:tcPr>
            <w:tcW w:w="6619" w:type="dxa"/>
            <w:gridSpan w:val="3"/>
          </w:tcPr>
          <w:p w14:paraId="48EA286A" w14:textId="3FB7A82C" w:rsidR="00142A4E" w:rsidRPr="00872617" w:rsidRDefault="00C56918" w:rsidP="00C56918">
            <w:pPr>
              <w:spacing w:line="360" w:lineRule="auto"/>
              <w:jc w:val="both"/>
              <w:rPr>
                <w:rFonts w:asciiTheme="majorBidi" w:hAnsiTheme="majorBidi" w:cstheme="majorBidi"/>
              </w:rPr>
            </w:pPr>
            <w:r w:rsidRPr="00C56918">
              <w:rPr>
                <w:rFonts w:asciiTheme="majorBidi" w:hAnsiTheme="majorBidi" w:cstheme="majorBidi"/>
              </w:rPr>
              <w:t>If a person referred to in subsection (a) of this section reapplies to participate in the sandbox, they shall submit evidence demonstrating that the feedback provided or deficiencies identified in the previous application have been addressed.</w:t>
            </w:r>
          </w:p>
        </w:tc>
      </w:tr>
      <w:tr w:rsidR="00C56918" w14:paraId="0C8D51A6" w14:textId="77777777" w:rsidTr="00F47A1A">
        <w:trPr>
          <w:trHeight w:val="884"/>
        </w:trPr>
        <w:tc>
          <w:tcPr>
            <w:tcW w:w="2055" w:type="dxa"/>
          </w:tcPr>
          <w:p w14:paraId="2F8EDF1C" w14:textId="204A533A" w:rsidR="00C56918" w:rsidRDefault="00C56918" w:rsidP="00C8197E">
            <w:pPr>
              <w:rPr>
                <w:rFonts w:asciiTheme="majorBidi" w:hAnsiTheme="majorBidi" w:cstheme="majorBidi"/>
                <w:sz w:val="22"/>
                <w:szCs w:val="22"/>
              </w:rPr>
            </w:pPr>
            <w:r w:rsidRPr="00C56918">
              <w:rPr>
                <w:rFonts w:asciiTheme="majorBidi" w:hAnsiTheme="majorBidi" w:cstheme="majorBidi"/>
                <w:sz w:val="22"/>
                <w:szCs w:val="22"/>
              </w:rPr>
              <w:t>Confidentiality</w:t>
            </w:r>
          </w:p>
        </w:tc>
        <w:tc>
          <w:tcPr>
            <w:tcW w:w="627" w:type="dxa"/>
          </w:tcPr>
          <w:p w14:paraId="1711FE61" w14:textId="79B5215B" w:rsidR="00C56918" w:rsidRDefault="00C56918" w:rsidP="00C8197E">
            <w:pPr>
              <w:rPr>
                <w:rFonts w:asciiTheme="majorBidi" w:hAnsiTheme="majorBidi" w:cstheme="majorBidi"/>
                <w:sz w:val="22"/>
                <w:szCs w:val="22"/>
              </w:rPr>
            </w:pPr>
            <w:r>
              <w:rPr>
                <w:rFonts w:asciiTheme="majorBidi" w:hAnsiTheme="majorBidi" w:cstheme="majorBidi"/>
                <w:sz w:val="22"/>
                <w:szCs w:val="22"/>
              </w:rPr>
              <w:t>19.</w:t>
            </w:r>
          </w:p>
        </w:tc>
        <w:tc>
          <w:tcPr>
            <w:tcW w:w="7247" w:type="dxa"/>
            <w:gridSpan w:val="4"/>
          </w:tcPr>
          <w:p w14:paraId="6944B980" w14:textId="79228C2A" w:rsidR="00C56918" w:rsidRPr="00872617" w:rsidRDefault="00C56918" w:rsidP="00C56918">
            <w:pPr>
              <w:spacing w:line="360" w:lineRule="auto"/>
              <w:jc w:val="both"/>
              <w:rPr>
                <w:rFonts w:asciiTheme="majorBidi" w:hAnsiTheme="majorBidi" w:cstheme="majorBidi"/>
              </w:rPr>
            </w:pPr>
            <w:r w:rsidRPr="00C56918">
              <w:rPr>
                <w:rFonts w:asciiTheme="majorBidi" w:hAnsiTheme="majorBidi" w:cstheme="majorBidi"/>
              </w:rPr>
              <w:t>All information and documents submitted to the Authority under these rules shall be treated as confidential throughout all stages of the sandbox and shall be used solely for sandbox assessment, monitoring, and regulatory oversight purposes.</w:t>
            </w:r>
          </w:p>
        </w:tc>
      </w:tr>
      <w:tr w:rsidR="00142A4E" w14:paraId="218C7632" w14:textId="77777777" w:rsidTr="00D250C6">
        <w:trPr>
          <w:trHeight w:val="884"/>
        </w:trPr>
        <w:tc>
          <w:tcPr>
            <w:tcW w:w="2055" w:type="dxa"/>
          </w:tcPr>
          <w:p w14:paraId="2482013B" w14:textId="1BE4C150" w:rsidR="00142A4E" w:rsidRDefault="00C56918" w:rsidP="00C8197E">
            <w:pPr>
              <w:rPr>
                <w:rFonts w:asciiTheme="majorBidi" w:hAnsiTheme="majorBidi" w:cstheme="majorBidi"/>
                <w:sz w:val="22"/>
                <w:szCs w:val="22"/>
              </w:rPr>
            </w:pPr>
            <w:r>
              <w:rPr>
                <w:rFonts w:asciiTheme="majorBidi" w:hAnsiTheme="majorBidi" w:cstheme="majorBidi"/>
                <w:sz w:val="22"/>
                <w:szCs w:val="22"/>
              </w:rPr>
              <w:t>Fees</w:t>
            </w:r>
          </w:p>
        </w:tc>
        <w:tc>
          <w:tcPr>
            <w:tcW w:w="627" w:type="dxa"/>
          </w:tcPr>
          <w:p w14:paraId="2A76098E" w14:textId="0FDF0315" w:rsidR="00142A4E" w:rsidRDefault="00C56918" w:rsidP="00C8197E">
            <w:pPr>
              <w:rPr>
                <w:rFonts w:asciiTheme="majorBidi" w:hAnsiTheme="majorBidi" w:cstheme="majorBidi"/>
                <w:sz w:val="22"/>
                <w:szCs w:val="22"/>
              </w:rPr>
            </w:pPr>
            <w:r>
              <w:rPr>
                <w:rFonts w:asciiTheme="majorBidi" w:hAnsiTheme="majorBidi" w:cstheme="majorBidi"/>
                <w:sz w:val="22"/>
                <w:szCs w:val="22"/>
              </w:rPr>
              <w:t>20.</w:t>
            </w:r>
          </w:p>
        </w:tc>
        <w:tc>
          <w:tcPr>
            <w:tcW w:w="628" w:type="dxa"/>
          </w:tcPr>
          <w:p w14:paraId="0D594D41" w14:textId="7369A2A5" w:rsidR="00142A4E" w:rsidRDefault="00C56918" w:rsidP="00C8197E">
            <w:pPr>
              <w:rPr>
                <w:rFonts w:asciiTheme="majorBidi" w:hAnsiTheme="majorBidi" w:cstheme="majorBidi"/>
                <w:sz w:val="22"/>
                <w:szCs w:val="22"/>
              </w:rPr>
            </w:pPr>
            <w:r>
              <w:rPr>
                <w:rFonts w:asciiTheme="majorBidi" w:hAnsiTheme="majorBidi" w:cstheme="majorBidi"/>
                <w:sz w:val="22"/>
                <w:szCs w:val="22"/>
              </w:rPr>
              <w:t>(a)</w:t>
            </w:r>
          </w:p>
        </w:tc>
        <w:tc>
          <w:tcPr>
            <w:tcW w:w="6619" w:type="dxa"/>
            <w:gridSpan w:val="3"/>
          </w:tcPr>
          <w:p w14:paraId="35F560B9" w14:textId="3BA8D4FC" w:rsidR="00142A4E" w:rsidRPr="00872617" w:rsidRDefault="00D15E3D" w:rsidP="00D15E3D">
            <w:pPr>
              <w:spacing w:line="360" w:lineRule="auto"/>
              <w:jc w:val="both"/>
              <w:rPr>
                <w:rFonts w:asciiTheme="majorBidi" w:hAnsiTheme="majorBidi" w:cstheme="majorBidi"/>
              </w:rPr>
            </w:pPr>
            <w:r w:rsidRPr="00D15E3D">
              <w:rPr>
                <w:rFonts w:asciiTheme="majorBidi" w:hAnsiTheme="majorBidi" w:cstheme="majorBidi"/>
              </w:rPr>
              <w:t>Parties wishing to participate in the sandbox shall pay a</w:t>
            </w:r>
            <w:r>
              <w:rPr>
                <w:rFonts w:asciiTheme="majorBidi" w:hAnsiTheme="majorBidi" w:cstheme="majorBidi"/>
              </w:rPr>
              <w:t xml:space="preserve"> </w:t>
            </w:r>
            <w:r w:rsidRPr="00D15E3D">
              <w:rPr>
                <w:rFonts w:asciiTheme="majorBidi" w:hAnsiTheme="majorBidi" w:cstheme="majorBidi"/>
              </w:rPr>
              <w:t>non-refundable</w:t>
            </w:r>
            <w:r>
              <w:rPr>
                <w:rFonts w:asciiTheme="majorBidi" w:hAnsiTheme="majorBidi" w:cstheme="majorBidi"/>
              </w:rPr>
              <w:t xml:space="preserve"> </w:t>
            </w:r>
            <w:r w:rsidRPr="00D15E3D">
              <w:rPr>
                <w:rFonts w:asciiTheme="majorBidi" w:hAnsiTheme="majorBidi" w:cstheme="majorBidi"/>
              </w:rPr>
              <w:t>application processing fee of MVR 5,000 (five thousand) at the time of submission.</w:t>
            </w:r>
          </w:p>
        </w:tc>
      </w:tr>
      <w:tr w:rsidR="00142A4E" w14:paraId="2FCE4130" w14:textId="77777777" w:rsidTr="00D250C6">
        <w:trPr>
          <w:trHeight w:val="884"/>
        </w:trPr>
        <w:tc>
          <w:tcPr>
            <w:tcW w:w="2055" w:type="dxa"/>
          </w:tcPr>
          <w:p w14:paraId="249F1F9A" w14:textId="77777777" w:rsidR="00142A4E" w:rsidRDefault="00142A4E" w:rsidP="00C8197E">
            <w:pPr>
              <w:rPr>
                <w:rFonts w:asciiTheme="majorBidi" w:hAnsiTheme="majorBidi" w:cstheme="majorBidi"/>
                <w:sz w:val="22"/>
                <w:szCs w:val="22"/>
              </w:rPr>
            </w:pPr>
          </w:p>
        </w:tc>
        <w:tc>
          <w:tcPr>
            <w:tcW w:w="627" w:type="dxa"/>
          </w:tcPr>
          <w:p w14:paraId="078C1CB5" w14:textId="77777777" w:rsidR="00142A4E" w:rsidRDefault="00142A4E" w:rsidP="00C8197E">
            <w:pPr>
              <w:rPr>
                <w:rFonts w:asciiTheme="majorBidi" w:hAnsiTheme="majorBidi" w:cstheme="majorBidi"/>
                <w:sz w:val="22"/>
                <w:szCs w:val="22"/>
              </w:rPr>
            </w:pPr>
          </w:p>
        </w:tc>
        <w:tc>
          <w:tcPr>
            <w:tcW w:w="628" w:type="dxa"/>
          </w:tcPr>
          <w:p w14:paraId="2536035A" w14:textId="5CBAAA3C" w:rsidR="00142A4E" w:rsidRDefault="00D15E3D" w:rsidP="00C8197E">
            <w:pPr>
              <w:rPr>
                <w:rFonts w:asciiTheme="majorBidi" w:hAnsiTheme="majorBidi" w:cstheme="majorBidi"/>
                <w:sz w:val="22"/>
                <w:szCs w:val="22"/>
              </w:rPr>
            </w:pPr>
            <w:r>
              <w:rPr>
                <w:rFonts w:asciiTheme="majorBidi" w:hAnsiTheme="majorBidi" w:cstheme="majorBidi"/>
                <w:sz w:val="22"/>
                <w:szCs w:val="22"/>
              </w:rPr>
              <w:t>(b)</w:t>
            </w:r>
          </w:p>
        </w:tc>
        <w:tc>
          <w:tcPr>
            <w:tcW w:w="6619" w:type="dxa"/>
            <w:gridSpan w:val="3"/>
          </w:tcPr>
          <w:p w14:paraId="242B64FF" w14:textId="4FABD18B" w:rsidR="00142A4E" w:rsidRPr="00872617" w:rsidRDefault="00D15E3D" w:rsidP="00D15E3D">
            <w:pPr>
              <w:spacing w:line="360" w:lineRule="auto"/>
              <w:jc w:val="both"/>
              <w:rPr>
                <w:rFonts w:asciiTheme="majorBidi" w:hAnsiTheme="majorBidi" w:cstheme="majorBidi"/>
              </w:rPr>
            </w:pPr>
            <w:r w:rsidRPr="00D15E3D">
              <w:rPr>
                <w:rFonts w:asciiTheme="majorBidi" w:hAnsiTheme="majorBidi" w:cstheme="majorBidi"/>
              </w:rPr>
              <w:t>A non-refundable registration fee of MVR 35,000 (thirty-five thousand) shall be paid upon submission of the sandbox application.</w:t>
            </w:r>
          </w:p>
        </w:tc>
      </w:tr>
      <w:tr w:rsidR="00142A4E" w14:paraId="41FF7904" w14:textId="77777777" w:rsidTr="00D15E3D">
        <w:trPr>
          <w:trHeight w:val="620"/>
        </w:trPr>
        <w:tc>
          <w:tcPr>
            <w:tcW w:w="2055" w:type="dxa"/>
          </w:tcPr>
          <w:p w14:paraId="16A78AE8" w14:textId="77777777" w:rsidR="00142A4E" w:rsidRDefault="00142A4E" w:rsidP="00C8197E">
            <w:pPr>
              <w:rPr>
                <w:rFonts w:asciiTheme="majorBidi" w:hAnsiTheme="majorBidi" w:cstheme="majorBidi"/>
                <w:sz w:val="22"/>
                <w:szCs w:val="22"/>
              </w:rPr>
            </w:pPr>
          </w:p>
        </w:tc>
        <w:tc>
          <w:tcPr>
            <w:tcW w:w="627" w:type="dxa"/>
          </w:tcPr>
          <w:p w14:paraId="3488B029" w14:textId="77777777" w:rsidR="00142A4E" w:rsidRDefault="00142A4E" w:rsidP="00C8197E">
            <w:pPr>
              <w:rPr>
                <w:rFonts w:asciiTheme="majorBidi" w:hAnsiTheme="majorBidi" w:cstheme="majorBidi"/>
                <w:sz w:val="22"/>
                <w:szCs w:val="22"/>
              </w:rPr>
            </w:pPr>
          </w:p>
        </w:tc>
        <w:tc>
          <w:tcPr>
            <w:tcW w:w="628" w:type="dxa"/>
          </w:tcPr>
          <w:p w14:paraId="7ADAF27A" w14:textId="6A31C71A" w:rsidR="00142A4E" w:rsidRDefault="00D15E3D" w:rsidP="00C8197E">
            <w:pPr>
              <w:rPr>
                <w:rFonts w:asciiTheme="majorBidi" w:hAnsiTheme="majorBidi" w:cstheme="majorBidi"/>
                <w:sz w:val="22"/>
                <w:szCs w:val="22"/>
              </w:rPr>
            </w:pPr>
            <w:r>
              <w:rPr>
                <w:rFonts w:asciiTheme="majorBidi" w:hAnsiTheme="majorBidi" w:cstheme="majorBidi"/>
                <w:sz w:val="22"/>
                <w:szCs w:val="22"/>
              </w:rPr>
              <w:t>(c)</w:t>
            </w:r>
          </w:p>
        </w:tc>
        <w:tc>
          <w:tcPr>
            <w:tcW w:w="6619" w:type="dxa"/>
            <w:gridSpan w:val="3"/>
          </w:tcPr>
          <w:p w14:paraId="3C952D81" w14:textId="53B5F90A" w:rsidR="00142A4E" w:rsidRPr="00872617" w:rsidRDefault="00D15E3D" w:rsidP="00D15E3D">
            <w:pPr>
              <w:spacing w:line="360" w:lineRule="auto"/>
              <w:jc w:val="both"/>
              <w:rPr>
                <w:rFonts w:asciiTheme="majorBidi" w:hAnsiTheme="majorBidi" w:cstheme="majorBidi"/>
              </w:rPr>
            </w:pPr>
            <w:r w:rsidRPr="00D15E3D">
              <w:rPr>
                <w:rFonts w:asciiTheme="majorBidi" w:hAnsiTheme="majorBidi" w:cstheme="majorBidi"/>
              </w:rPr>
              <w:t xml:space="preserve">Following the successful completion of sandbox testing and exit, entities introducing the product or service on a wider scale shall pay </w:t>
            </w:r>
            <w:r w:rsidRPr="00D15E3D">
              <w:rPr>
                <w:rFonts w:asciiTheme="majorBidi" w:hAnsiTheme="majorBidi" w:cstheme="majorBidi"/>
              </w:rPr>
              <w:lastRenderedPageBreak/>
              <w:t>the prescribed fees for the relevant license or permit, as specified in the applicable regulations.</w:t>
            </w:r>
          </w:p>
        </w:tc>
      </w:tr>
      <w:tr w:rsidR="00D15E3D" w14:paraId="343229A5" w14:textId="77777777" w:rsidTr="00C94FA7">
        <w:trPr>
          <w:trHeight w:val="884"/>
        </w:trPr>
        <w:tc>
          <w:tcPr>
            <w:tcW w:w="2055" w:type="dxa"/>
          </w:tcPr>
          <w:p w14:paraId="2451C654" w14:textId="5F1D9295" w:rsidR="00D15E3D" w:rsidRDefault="00D15E3D" w:rsidP="00D15E3D">
            <w:pPr>
              <w:rPr>
                <w:rFonts w:asciiTheme="majorBidi" w:hAnsiTheme="majorBidi" w:cstheme="majorBidi"/>
                <w:sz w:val="22"/>
                <w:szCs w:val="22"/>
              </w:rPr>
            </w:pPr>
            <w:r w:rsidRPr="00D15E3D">
              <w:rPr>
                <w:rFonts w:asciiTheme="majorBidi" w:hAnsiTheme="majorBidi" w:cstheme="majorBidi"/>
                <w:sz w:val="22"/>
                <w:szCs w:val="22"/>
              </w:rPr>
              <w:lastRenderedPageBreak/>
              <w:t>Record Keeping</w:t>
            </w:r>
          </w:p>
        </w:tc>
        <w:tc>
          <w:tcPr>
            <w:tcW w:w="627" w:type="dxa"/>
          </w:tcPr>
          <w:p w14:paraId="70323A3D" w14:textId="6B75957B" w:rsidR="00D15E3D" w:rsidRDefault="00D15E3D" w:rsidP="00C8197E">
            <w:pPr>
              <w:rPr>
                <w:rFonts w:asciiTheme="majorBidi" w:hAnsiTheme="majorBidi" w:cstheme="majorBidi"/>
                <w:sz w:val="22"/>
                <w:szCs w:val="22"/>
              </w:rPr>
            </w:pPr>
            <w:r>
              <w:rPr>
                <w:rFonts w:asciiTheme="majorBidi" w:hAnsiTheme="majorBidi" w:cstheme="majorBidi"/>
                <w:sz w:val="22"/>
                <w:szCs w:val="22"/>
              </w:rPr>
              <w:t>21.</w:t>
            </w:r>
          </w:p>
        </w:tc>
        <w:tc>
          <w:tcPr>
            <w:tcW w:w="7247" w:type="dxa"/>
            <w:gridSpan w:val="4"/>
          </w:tcPr>
          <w:p w14:paraId="295B7206" w14:textId="0BA67E06" w:rsidR="00D15E3D" w:rsidRPr="00872617" w:rsidRDefault="009B3F90" w:rsidP="009B3F90">
            <w:pPr>
              <w:spacing w:line="360" w:lineRule="auto"/>
              <w:jc w:val="both"/>
              <w:rPr>
                <w:rFonts w:asciiTheme="majorBidi" w:hAnsiTheme="majorBidi" w:cstheme="majorBidi"/>
              </w:rPr>
            </w:pPr>
            <w:r w:rsidRPr="009B3F90">
              <w:rPr>
                <w:rFonts w:asciiTheme="majorBidi" w:hAnsiTheme="majorBidi" w:cstheme="majorBidi"/>
              </w:rPr>
              <w:t>Each sandbox participant shall maintain accurate and complete documentation of all activities conducted during the sandbox testing period. Participants are also responsible for securely retaining these records for the prescribed period, or until any identified issues have been fully resolved.</w:t>
            </w:r>
          </w:p>
        </w:tc>
      </w:tr>
      <w:tr w:rsidR="00D15E3D" w14:paraId="555A74ED" w14:textId="77777777" w:rsidTr="00C94FA7">
        <w:trPr>
          <w:trHeight w:val="884"/>
        </w:trPr>
        <w:tc>
          <w:tcPr>
            <w:tcW w:w="2055" w:type="dxa"/>
          </w:tcPr>
          <w:p w14:paraId="6FC89F63" w14:textId="7A32E407" w:rsidR="00D15E3D" w:rsidRPr="00D15E3D" w:rsidRDefault="009B3F90" w:rsidP="009B3F90">
            <w:pPr>
              <w:rPr>
                <w:rFonts w:asciiTheme="majorBidi" w:hAnsiTheme="majorBidi" w:cstheme="majorBidi"/>
                <w:sz w:val="22"/>
                <w:szCs w:val="22"/>
              </w:rPr>
            </w:pPr>
            <w:r w:rsidRPr="009B3F90">
              <w:rPr>
                <w:rFonts w:asciiTheme="majorBidi" w:hAnsiTheme="majorBidi" w:cstheme="majorBidi"/>
                <w:sz w:val="22"/>
                <w:szCs w:val="22"/>
              </w:rPr>
              <w:t>Authority’s Power to Issue Directives, Circulars, Orders</w:t>
            </w:r>
          </w:p>
        </w:tc>
        <w:tc>
          <w:tcPr>
            <w:tcW w:w="627" w:type="dxa"/>
          </w:tcPr>
          <w:p w14:paraId="7E9782E9" w14:textId="2B0DD1B0" w:rsidR="00D15E3D" w:rsidRDefault="009B3F90" w:rsidP="00C8197E">
            <w:pPr>
              <w:rPr>
                <w:rFonts w:asciiTheme="majorBidi" w:hAnsiTheme="majorBidi" w:cstheme="majorBidi"/>
                <w:sz w:val="22"/>
                <w:szCs w:val="22"/>
              </w:rPr>
            </w:pPr>
            <w:r>
              <w:rPr>
                <w:rFonts w:asciiTheme="majorBidi" w:hAnsiTheme="majorBidi" w:cstheme="majorBidi"/>
                <w:sz w:val="22"/>
                <w:szCs w:val="22"/>
              </w:rPr>
              <w:t>22.</w:t>
            </w:r>
          </w:p>
        </w:tc>
        <w:tc>
          <w:tcPr>
            <w:tcW w:w="7247" w:type="dxa"/>
            <w:gridSpan w:val="4"/>
          </w:tcPr>
          <w:p w14:paraId="15861EDB" w14:textId="09FED067" w:rsidR="00D15E3D" w:rsidRPr="00872617" w:rsidRDefault="009B3F90" w:rsidP="009B3F90">
            <w:pPr>
              <w:spacing w:line="360" w:lineRule="auto"/>
              <w:jc w:val="both"/>
              <w:rPr>
                <w:rFonts w:asciiTheme="majorBidi" w:hAnsiTheme="majorBidi" w:cstheme="majorBidi"/>
              </w:rPr>
            </w:pPr>
            <w:r w:rsidRPr="009B3F90">
              <w:rPr>
                <w:rFonts w:asciiTheme="majorBidi" w:hAnsiTheme="majorBidi" w:cstheme="majorBidi"/>
              </w:rPr>
              <w:t>The Authority reserves the right to issue instructions, circulars, or orders on any matter not specifically addressed herein, for the purpose of ensuring the effective administration and enforcement of these Regulations.</w:t>
            </w:r>
          </w:p>
        </w:tc>
      </w:tr>
      <w:tr w:rsidR="00142A4E" w14:paraId="710F3919" w14:textId="77777777" w:rsidTr="00330197">
        <w:trPr>
          <w:trHeight w:val="432"/>
        </w:trPr>
        <w:tc>
          <w:tcPr>
            <w:tcW w:w="2055" w:type="dxa"/>
          </w:tcPr>
          <w:p w14:paraId="5C7843CC" w14:textId="77777777" w:rsidR="009B3F90" w:rsidRPr="009B3F90" w:rsidRDefault="009B3F90" w:rsidP="009B3F90">
            <w:pPr>
              <w:rPr>
                <w:rFonts w:asciiTheme="majorBidi" w:hAnsiTheme="majorBidi" w:cstheme="majorBidi"/>
                <w:sz w:val="22"/>
                <w:szCs w:val="22"/>
              </w:rPr>
            </w:pPr>
            <w:r w:rsidRPr="009B3F90">
              <w:rPr>
                <w:rFonts w:asciiTheme="majorBidi" w:hAnsiTheme="majorBidi" w:cstheme="majorBidi"/>
                <w:sz w:val="22"/>
                <w:szCs w:val="22"/>
              </w:rPr>
              <w:t>Publication of the List of Sandbox Participants</w:t>
            </w:r>
          </w:p>
          <w:p w14:paraId="03747424" w14:textId="77777777" w:rsidR="00142A4E" w:rsidRDefault="00142A4E" w:rsidP="00C8197E">
            <w:pPr>
              <w:rPr>
                <w:rFonts w:asciiTheme="majorBidi" w:hAnsiTheme="majorBidi" w:cstheme="majorBidi"/>
                <w:sz w:val="22"/>
                <w:szCs w:val="22"/>
              </w:rPr>
            </w:pPr>
          </w:p>
        </w:tc>
        <w:tc>
          <w:tcPr>
            <w:tcW w:w="627" w:type="dxa"/>
          </w:tcPr>
          <w:p w14:paraId="25982A59" w14:textId="35FFBC15" w:rsidR="00142A4E" w:rsidRDefault="009B3F90" w:rsidP="00C8197E">
            <w:pPr>
              <w:rPr>
                <w:rFonts w:asciiTheme="majorBidi" w:hAnsiTheme="majorBidi" w:cstheme="majorBidi"/>
                <w:sz w:val="22"/>
                <w:szCs w:val="22"/>
              </w:rPr>
            </w:pPr>
            <w:r>
              <w:rPr>
                <w:rFonts w:asciiTheme="majorBidi" w:hAnsiTheme="majorBidi" w:cstheme="majorBidi"/>
                <w:sz w:val="22"/>
                <w:szCs w:val="22"/>
              </w:rPr>
              <w:t>23.</w:t>
            </w:r>
          </w:p>
        </w:tc>
        <w:tc>
          <w:tcPr>
            <w:tcW w:w="628" w:type="dxa"/>
          </w:tcPr>
          <w:p w14:paraId="599D64AF" w14:textId="2F37336E" w:rsidR="00142A4E" w:rsidRDefault="00330197" w:rsidP="00C8197E">
            <w:pPr>
              <w:rPr>
                <w:rFonts w:asciiTheme="majorBidi" w:hAnsiTheme="majorBidi" w:cstheme="majorBidi"/>
                <w:sz w:val="22"/>
                <w:szCs w:val="22"/>
              </w:rPr>
            </w:pPr>
            <w:r>
              <w:rPr>
                <w:rFonts w:asciiTheme="majorBidi" w:hAnsiTheme="majorBidi" w:cstheme="majorBidi"/>
                <w:sz w:val="22"/>
                <w:szCs w:val="22"/>
              </w:rPr>
              <w:t>(a)</w:t>
            </w:r>
          </w:p>
        </w:tc>
        <w:tc>
          <w:tcPr>
            <w:tcW w:w="6619" w:type="dxa"/>
            <w:gridSpan w:val="3"/>
          </w:tcPr>
          <w:p w14:paraId="062C6AF0" w14:textId="425B56BF" w:rsidR="00330197" w:rsidRPr="00872617" w:rsidRDefault="00330197" w:rsidP="00723245">
            <w:pPr>
              <w:spacing w:line="360" w:lineRule="auto"/>
              <w:jc w:val="both"/>
              <w:rPr>
                <w:rFonts w:asciiTheme="majorBidi" w:hAnsiTheme="majorBidi" w:cstheme="majorBidi"/>
              </w:rPr>
            </w:pPr>
            <w:r>
              <w:rPr>
                <w:rFonts w:asciiTheme="majorBidi" w:hAnsiTheme="majorBidi" w:cstheme="majorBidi"/>
              </w:rPr>
              <w:t>L</w:t>
            </w:r>
            <w:r w:rsidRPr="00330197">
              <w:rPr>
                <w:rFonts w:asciiTheme="majorBidi" w:hAnsiTheme="majorBidi" w:cstheme="majorBidi"/>
              </w:rPr>
              <w:t xml:space="preserve">ist of sandbox participants shall be published </w:t>
            </w:r>
            <w:r>
              <w:rPr>
                <w:rFonts w:asciiTheme="majorBidi" w:hAnsiTheme="majorBidi" w:cstheme="majorBidi"/>
              </w:rPr>
              <w:t xml:space="preserve">and updated </w:t>
            </w:r>
            <w:r w:rsidRPr="00330197">
              <w:rPr>
                <w:rFonts w:asciiTheme="majorBidi" w:hAnsiTheme="majorBidi" w:cstheme="majorBidi"/>
              </w:rPr>
              <w:t>on the Authority’s official website.</w:t>
            </w:r>
          </w:p>
        </w:tc>
      </w:tr>
      <w:tr w:rsidR="00142A4E" w14:paraId="1359D29F" w14:textId="77777777" w:rsidTr="00330197">
        <w:trPr>
          <w:trHeight w:val="720"/>
        </w:trPr>
        <w:tc>
          <w:tcPr>
            <w:tcW w:w="2055" w:type="dxa"/>
          </w:tcPr>
          <w:p w14:paraId="700E71F5" w14:textId="77777777" w:rsidR="00142A4E" w:rsidRDefault="00142A4E" w:rsidP="00C8197E">
            <w:pPr>
              <w:rPr>
                <w:rFonts w:asciiTheme="majorBidi" w:hAnsiTheme="majorBidi" w:cstheme="majorBidi"/>
                <w:sz w:val="22"/>
                <w:szCs w:val="22"/>
              </w:rPr>
            </w:pPr>
          </w:p>
        </w:tc>
        <w:tc>
          <w:tcPr>
            <w:tcW w:w="627" w:type="dxa"/>
          </w:tcPr>
          <w:p w14:paraId="7536CA33" w14:textId="77777777" w:rsidR="00142A4E" w:rsidRDefault="00142A4E" w:rsidP="00C8197E">
            <w:pPr>
              <w:rPr>
                <w:rFonts w:asciiTheme="majorBidi" w:hAnsiTheme="majorBidi" w:cstheme="majorBidi"/>
                <w:sz w:val="22"/>
                <w:szCs w:val="22"/>
              </w:rPr>
            </w:pPr>
          </w:p>
        </w:tc>
        <w:tc>
          <w:tcPr>
            <w:tcW w:w="628" w:type="dxa"/>
          </w:tcPr>
          <w:p w14:paraId="51F7ECA7" w14:textId="55024099" w:rsidR="00142A4E" w:rsidRDefault="00330197" w:rsidP="00C8197E">
            <w:pPr>
              <w:rPr>
                <w:rFonts w:asciiTheme="majorBidi" w:hAnsiTheme="majorBidi" w:cstheme="majorBidi"/>
                <w:sz w:val="22"/>
                <w:szCs w:val="22"/>
              </w:rPr>
            </w:pPr>
            <w:r>
              <w:rPr>
                <w:rFonts w:asciiTheme="majorBidi" w:hAnsiTheme="majorBidi" w:cstheme="majorBidi"/>
                <w:sz w:val="22"/>
                <w:szCs w:val="22"/>
              </w:rPr>
              <w:t>(b)</w:t>
            </w:r>
          </w:p>
        </w:tc>
        <w:tc>
          <w:tcPr>
            <w:tcW w:w="6619" w:type="dxa"/>
            <w:gridSpan w:val="3"/>
          </w:tcPr>
          <w:p w14:paraId="2F3EB2B0" w14:textId="28E1C7D4" w:rsidR="00142A4E" w:rsidRPr="00872617" w:rsidRDefault="00330197" w:rsidP="00723245">
            <w:pPr>
              <w:spacing w:line="360" w:lineRule="auto"/>
              <w:jc w:val="both"/>
              <w:rPr>
                <w:rFonts w:asciiTheme="majorBidi" w:hAnsiTheme="majorBidi" w:cstheme="majorBidi"/>
              </w:rPr>
            </w:pPr>
            <w:r w:rsidRPr="00330197">
              <w:rPr>
                <w:rFonts w:asciiTheme="majorBidi" w:hAnsiTheme="majorBidi" w:cstheme="majorBidi"/>
              </w:rPr>
              <w:t>The list referred to in subsection (a) of this section shall include the following information:</w:t>
            </w:r>
          </w:p>
        </w:tc>
      </w:tr>
      <w:tr w:rsidR="00330197" w14:paraId="5FA21EA9" w14:textId="77777777" w:rsidTr="00330197">
        <w:trPr>
          <w:trHeight w:val="720"/>
        </w:trPr>
        <w:tc>
          <w:tcPr>
            <w:tcW w:w="2055" w:type="dxa"/>
          </w:tcPr>
          <w:p w14:paraId="77F1D894" w14:textId="77777777" w:rsidR="00330197" w:rsidRDefault="00330197" w:rsidP="00C8197E">
            <w:pPr>
              <w:rPr>
                <w:rFonts w:asciiTheme="majorBidi" w:hAnsiTheme="majorBidi" w:cstheme="majorBidi"/>
                <w:sz w:val="22"/>
                <w:szCs w:val="22"/>
              </w:rPr>
            </w:pPr>
          </w:p>
        </w:tc>
        <w:tc>
          <w:tcPr>
            <w:tcW w:w="627" w:type="dxa"/>
          </w:tcPr>
          <w:p w14:paraId="140E9629" w14:textId="77777777" w:rsidR="00330197" w:rsidRDefault="00330197" w:rsidP="00C8197E">
            <w:pPr>
              <w:rPr>
                <w:rFonts w:asciiTheme="majorBidi" w:hAnsiTheme="majorBidi" w:cstheme="majorBidi"/>
                <w:sz w:val="22"/>
                <w:szCs w:val="22"/>
              </w:rPr>
            </w:pPr>
          </w:p>
        </w:tc>
        <w:tc>
          <w:tcPr>
            <w:tcW w:w="628" w:type="dxa"/>
          </w:tcPr>
          <w:p w14:paraId="0EA3680F" w14:textId="77777777" w:rsidR="00330197" w:rsidRDefault="00330197" w:rsidP="00C8197E">
            <w:pPr>
              <w:rPr>
                <w:rFonts w:asciiTheme="majorBidi" w:hAnsiTheme="majorBidi" w:cstheme="majorBidi"/>
                <w:sz w:val="22"/>
                <w:szCs w:val="22"/>
              </w:rPr>
            </w:pPr>
          </w:p>
        </w:tc>
        <w:tc>
          <w:tcPr>
            <w:tcW w:w="555" w:type="dxa"/>
          </w:tcPr>
          <w:p w14:paraId="36265363" w14:textId="61F6DA41" w:rsidR="00330197" w:rsidRPr="00872617" w:rsidRDefault="00330197" w:rsidP="00872617">
            <w:pPr>
              <w:rPr>
                <w:rFonts w:asciiTheme="majorBidi" w:hAnsiTheme="majorBidi" w:cstheme="majorBidi"/>
              </w:rPr>
            </w:pPr>
            <w:r>
              <w:rPr>
                <w:rFonts w:asciiTheme="majorBidi" w:hAnsiTheme="majorBidi" w:cstheme="majorBidi"/>
              </w:rPr>
              <w:t>(1)</w:t>
            </w:r>
          </w:p>
        </w:tc>
        <w:tc>
          <w:tcPr>
            <w:tcW w:w="6064" w:type="dxa"/>
            <w:gridSpan w:val="2"/>
          </w:tcPr>
          <w:p w14:paraId="2DDBADAA" w14:textId="54E1F7CF" w:rsidR="00330197" w:rsidRPr="00872617" w:rsidRDefault="00330197" w:rsidP="00723245">
            <w:pPr>
              <w:spacing w:line="360" w:lineRule="auto"/>
              <w:jc w:val="both"/>
              <w:rPr>
                <w:rFonts w:asciiTheme="majorBidi" w:hAnsiTheme="majorBidi" w:cstheme="majorBidi"/>
              </w:rPr>
            </w:pPr>
            <w:r w:rsidRPr="00330197">
              <w:rPr>
                <w:rFonts w:asciiTheme="majorBidi" w:hAnsiTheme="majorBidi" w:cstheme="majorBidi"/>
              </w:rPr>
              <w:t xml:space="preserve">Name of the </w:t>
            </w:r>
            <w:r>
              <w:rPr>
                <w:rFonts w:asciiTheme="majorBidi" w:hAnsiTheme="majorBidi" w:cstheme="majorBidi"/>
              </w:rPr>
              <w:t xml:space="preserve">sandbox </w:t>
            </w:r>
            <w:r w:rsidRPr="00330197">
              <w:rPr>
                <w:rFonts w:asciiTheme="majorBidi" w:hAnsiTheme="majorBidi" w:cstheme="majorBidi"/>
              </w:rPr>
              <w:t>participant</w:t>
            </w:r>
            <w:r>
              <w:rPr>
                <w:rFonts w:asciiTheme="majorBidi" w:hAnsiTheme="majorBidi" w:cstheme="majorBidi"/>
              </w:rPr>
              <w:t>;</w:t>
            </w:r>
          </w:p>
        </w:tc>
      </w:tr>
      <w:tr w:rsidR="00330197" w14:paraId="001A9ACF" w14:textId="77777777" w:rsidTr="00330197">
        <w:trPr>
          <w:trHeight w:val="720"/>
        </w:trPr>
        <w:tc>
          <w:tcPr>
            <w:tcW w:w="2055" w:type="dxa"/>
          </w:tcPr>
          <w:p w14:paraId="3BD9B640" w14:textId="77777777" w:rsidR="00330197" w:rsidRDefault="00330197" w:rsidP="00C8197E">
            <w:pPr>
              <w:rPr>
                <w:rFonts w:asciiTheme="majorBidi" w:hAnsiTheme="majorBidi" w:cstheme="majorBidi"/>
                <w:sz w:val="22"/>
                <w:szCs w:val="22"/>
              </w:rPr>
            </w:pPr>
          </w:p>
        </w:tc>
        <w:tc>
          <w:tcPr>
            <w:tcW w:w="627" w:type="dxa"/>
          </w:tcPr>
          <w:p w14:paraId="2A31977C" w14:textId="77777777" w:rsidR="00330197" w:rsidRDefault="00330197" w:rsidP="00C8197E">
            <w:pPr>
              <w:rPr>
                <w:rFonts w:asciiTheme="majorBidi" w:hAnsiTheme="majorBidi" w:cstheme="majorBidi"/>
                <w:sz w:val="22"/>
                <w:szCs w:val="22"/>
              </w:rPr>
            </w:pPr>
          </w:p>
        </w:tc>
        <w:tc>
          <w:tcPr>
            <w:tcW w:w="628" w:type="dxa"/>
          </w:tcPr>
          <w:p w14:paraId="4B8D288B" w14:textId="77777777" w:rsidR="00330197" w:rsidRDefault="00330197" w:rsidP="00C8197E">
            <w:pPr>
              <w:rPr>
                <w:rFonts w:asciiTheme="majorBidi" w:hAnsiTheme="majorBidi" w:cstheme="majorBidi"/>
                <w:sz w:val="22"/>
                <w:szCs w:val="22"/>
              </w:rPr>
            </w:pPr>
          </w:p>
        </w:tc>
        <w:tc>
          <w:tcPr>
            <w:tcW w:w="555" w:type="dxa"/>
          </w:tcPr>
          <w:p w14:paraId="015934B1" w14:textId="6F711512" w:rsidR="00330197" w:rsidRDefault="00330197" w:rsidP="00872617">
            <w:pPr>
              <w:rPr>
                <w:rFonts w:asciiTheme="majorBidi" w:hAnsiTheme="majorBidi" w:cstheme="majorBidi"/>
              </w:rPr>
            </w:pPr>
            <w:r>
              <w:rPr>
                <w:rFonts w:asciiTheme="majorBidi" w:hAnsiTheme="majorBidi" w:cstheme="majorBidi"/>
              </w:rPr>
              <w:t>(2)</w:t>
            </w:r>
          </w:p>
        </w:tc>
        <w:tc>
          <w:tcPr>
            <w:tcW w:w="6064" w:type="dxa"/>
            <w:gridSpan w:val="2"/>
          </w:tcPr>
          <w:p w14:paraId="7DB35435" w14:textId="5DD67C89" w:rsidR="00330197" w:rsidRPr="00330197" w:rsidRDefault="00330197" w:rsidP="00723245">
            <w:pPr>
              <w:spacing w:line="360" w:lineRule="auto"/>
              <w:jc w:val="both"/>
              <w:rPr>
                <w:rFonts w:asciiTheme="majorBidi" w:hAnsiTheme="majorBidi" w:cstheme="majorBidi"/>
              </w:rPr>
            </w:pPr>
            <w:r w:rsidRPr="00330197">
              <w:rPr>
                <w:rFonts w:asciiTheme="majorBidi" w:hAnsiTheme="majorBidi" w:cstheme="majorBidi"/>
              </w:rPr>
              <w:t>Product or service being tested</w:t>
            </w:r>
            <w:r>
              <w:rPr>
                <w:rFonts w:asciiTheme="majorBidi" w:hAnsiTheme="majorBidi" w:cstheme="majorBidi"/>
              </w:rPr>
              <w:t>;</w:t>
            </w:r>
          </w:p>
          <w:p w14:paraId="564715C2" w14:textId="1D61E56B" w:rsidR="00330197" w:rsidRPr="00872617" w:rsidRDefault="00330197" w:rsidP="00723245">
            <w:pPr>
              <w:spacing w:line="360" w:lineRule="auto"/>
              <w:jc w:val="both"/>
              <w:rPr>
                <w:rFonts w:asciiTheme="majorBidi" w:hAnsiTheme="majorBidi" w:cstheme="majorBidi"/>
              </w:rPr>
            </w:pPr>
          </w:p>
        </w:tc>
      </w:tr>
      <w:tr w:rsidR="00330197" w14:paraId="66744290" w14:textId="77777777" w:rsidTr="00330197">
        <w:trPr>
          <w:trHeight w:val="720"/>
        </w:trPr>
        <w:tc>
          <w:tcPr>
            <w:tcW w:w="2055" w:type="dxa"/>
          </w:tcPr>
          <w:p w14:paraId="606FD08A" w14:textId="77777777" w:rsidR="00330197" w:rsidRDefault="00330197" w:rsidP="00C8197E">
            <w:pPr>
              <w:rPr>
                <w:rFonts w:asciiTheme="majorBidi" w:hAnsiTheme="majorBidi" w:cstheme="majorBidi"/>
                <w:sz w:val="22"/>
                <w:szCs w:val="22"/>
              </w:rPr>
            </w:pPr>
          </w:p>
        </w:tc>
        <w:tc>
          <w:tcPr>
            <w:tcW w:w="627" w:type="dxa"/>
          </w:tcPr>
          <w:p w14:paraId="3CA03AD0" w14:textId="77777777" w:rsidR="00330197" w:rsidRDefault="00330197" w:rsidP="00C8197E">
            <w:pPr>
              <w:rPr>
                <w:rFonts w:asciiTheme="majorBidi" w:hAnsiTheme="majorBidi" w:cstheme="majorBidi"/>
                <w:sz w:val="22"/>
                <w:szCs w:val="22"/>
              </w:rPr>
            </w:pPr>
          </w:p>
        </w:tc>
        <w:tc>
          <w:tcPr>
            <w:tcW w:w="628" w:type="dxa"/>
          </w:tcPr>
          <w:p w14:paraId="69FD20FD" w14:textId="77777777" w:rsidR="00330197" w:rsidRDefault="00330197" w:rsidP="00C8197E">
            <w:pPr>
              <w:rPr>
                <w:rFonts w:asciiTheme="majorBidi" w:hAnsiTheme="majorBidi" w:cstheme="majorBidi"/>
                <w:sz w:val="22"/>
                <w:szCs w:val="22"/>
              </w:rPr>
            </w:pPr>
          </w:p>
        </w:tc>
        <w:tc>
          <w:tcPr>
            <w:tcW w:w="555" w:type="dxa"/>
          </w:tcPr>
          <w:p w14:paraId="2EE78B8A" w14:textId="202B26D3" w:rsidR="00330197" w:rsidRDefault="00330197" w:rsidP="00872617">
            <w:pPr>
              <w:rPr>
                <w:rFonts w:asciiTheme="majorBidi" w:hAnsiTheme="majorBidi" w:cstheme="majorBidi"/>
              </w:rPr>
            </w:pPr>
            <w:r>
              <w:rPr>
                <w:rFonts w:asciiTheme="majorBidi" w:hAnsiTheme="majorBidi" w:cstheme="majorBidi"/>
              </w:rPr>
              <w:t>(3)</w:t>
            </w:r>
          </w:p>
        </w:tc>
        <w:tc>
          <w:tcPr>
            <w:tcW w:w="6064" w:type="dxa"/>
            <w:gridSpan w:val="2"/>
          </w:tcPr>
          <w:p w14:paraId="03E0E9C1" w14:textId="4B2D8E29" w:rsidR="00330197" w:rsidRPr="00872617" w:rsidRDefault="00330197" w:rsidP="00723245">
            <w:pPr>
              <w:spacing w:line="360" w:lineRule="auto"/>
              <w:jc w:val="both"/>
              <w:rPr>
                <w:rFonts w:asciiTheme="majorBidi" w:hAnsiTheme="majorBidi" w:cstheme="majorBidi"/>
              </w:rPr>
            </w:pPr>
            <w:r w:rsidRPr="00330197">
              <w:rPr>
                <w:rFonts w:asciiTheme="majorBidi" w:hAnsiTheme="majorBidi" w:cstheme="majorBidi"/>
              </w:rPr>
              <w:t>Date of commencement of testing</w:t>
            </w:r>
            <w:r>
              <w:rPr>
                <w:rFonts w:asciiTheme="majorBidi" w:hAnsiTheme="majorBidi" w:cstheme="majorBidi"/>
              </w:rPr>
              <w:t>.</w:t>
            </w:r>
          </w:p>
        </w:tc>
      </w:tr>
      <w:tr w:rsidR="00723245" w14:paraId="79CBA2DE" w14:textId="77777777" w:rsidTr="00B17FEC">
        <w:trPr>
          <w:trHeight w:val="884"/>
        </w:trPr>
        <w:tc>
          <w:tcPr>
            <w:tcW w:w="2055" w:type="dxa"/>
          </w:tcPr>
          <w:p w14:paraId="2BEED9FC" w14:textId="2FDFAE46" w:rsidR="00723245" w:rsidRDefault="00723245" w:rsidP="00C8197E">
            <w:pPr>
              <w:rPr>
                <w:rFonts w:asciiTheme="majorBidi" w:hAnsiTheme="majorBidi" w:cstheme="majorBidi"/>
                <w:sz w:val="22"/>
                <w:szCs w:val="22"/>
              </w:rPr>
            </w:pPr>
            <w:r>
              <w:rPr>
                <w:rFonts w:asciiTheme="majorBidi" w:hAnsiTheme="majorBidi" w:cstheme="majorBidi"/>
                <w:sz w:val="22"/>
                <w:szCs w:val="22"/>
              </w:rPr>
              <w:t xml:space="preserve">Definitions </w:t>
            </w:r>
          </w:p>
        </w:tc>
        <w:tc>
          <w:tcPr>
            <w:tcW w:w="627" w:type="dxa"/>
          </w:tcPr>
          <w:p w14:paraId="052D5026" w14:textId="69445C2E" w:rsidR="00723245" w:rsidRDefault="00723245" w:rsidP="00C8197E">
            <w:pPr>
              <w:rPr>
                <w:rFonts w:asciiTheme="majorBidi" w:hAnsiTheme="majorBidi" w:cstheme="majorBidi"/>
                <w:sz w:val="22"/>
                <w:szCs w:val="22"/>
              </w:rPr>
            </w:pPr>
            <w:r>
              <w:rPr>
                <w:rFonts w:asciiTheme="majorBidi" w:hAnsiTheme="majorBidi" w:cstheme="majorBidi"/>
                <w:sz w:val="22"/>
                <w:szCs w:val="22"/>
              </w:rPr>
              <w:t>24.</w:t>
            </w:r>
          </w:p>
        </w:tc>
        <w:tc>
          <w:tcPr>
            <w:tcW w:w="7247" w:type="dxa"/>
            <w:gridSpan w:val="4"/>
          </w:tcPr>
          <w:p w14:paraId="5F206B92" w14:textId="6637D2ED" w:rsidR="00723245" w:rsidRPr="00872617" w:rsidRDefault="00723245" w:rsidP="004730DA">
            <w:pPr>
              <w:spacing w:line="360" w:lineRule="auto"/>
              <w:jc w:val="both"/>
              <w:rPr>
                <w:rFonts w:asciiTheme="majorBidi" w:hAnsiTheme="majorBidi" w:cstheme="majorBidi"/>
              </w:rPr>
            </w:pPr>
            <w:r w:rsidRPr="00723245">
              <w:rPr>
                <w:rFonts w:asciiTheme="majorBidi" w:hAnsiTheme="majorBidi" w:cstheme="majorBidi"/>
              </w:rPr>
              <w:t>Unless the context otherwise requires, the following terms and phrases shall have the meanings assigned to them below.</w:t>
            </w:r>
          </w:p>
        </w:tc>
      </w:tr>
      <w:tr w:rsidR="00142A4E" w14:paraId="0DF0FE21" w14:textId="77777777" w:rsidTr="00571850">
        <w:trPr>
          <w:trHeight w:val="576"/>
        </w:trPr>
        <w:tc>
          <w:tcPr>
            <w:tcW w:w="2055" w:type="dxa"/>
          </w:tcPr>
          <w:p w14:paraId="697F134E" w14:textId="77777777" w:rsidR="00142A4E" w:rsidRDefault="00142A4E" w:rsidP="00C8197E">
            <w:pPr>
              <w:rPr>
                <w:rFonts w:asciiTheme="majorBidi" w:hAnsiTheme="majorBidi" w:cstheme="majorBidi"/>
                <w:sz w:val="22"/>
                <w:szCs w:val="22"/>
              </w:rPr>
            </w:pPr>
          </w:p>
        </w:tc>
        <w:tc>
          <w:tcPr>
            <w:tcW w:w="627" w:type="dxa"/>
          </w:tcPr>
          <w:p w14:paraId="4B149657" w14:textId="77777777" w:rsidR="00142A4E" w:rsidRDefault="00142A4E" w:rsidP="00C8197E">
            <w:pPr>
              <w:rPr>
                <w:rFonts w:asciiTheme="majorBidi" w:hAnsiTheme="majorBidi" w:cstheme="majorBidi"/>
                <w:sz w:val="22"/>
                <w:szCs w:val="22"/>
              </w:rPr>
            </w:pPr>
          </w:p>
        </w:tc>
        <w:tc>
          <w:tcPr>
            <w:tcW w:w="628" w:type="dxa"/>
          </w:tcPr>
          <w:p w14:paraId="6FD85CDF" w14:textId="33C3C33B" w:rsidR="00142A4E" w:rsidRDefault="00723245" w:rsidP="004730DA">
            <w:pPr>
              <w:spacing w:line="360" w:lineRule="auto"/>
              <w:jc w:val="both"/>
              <w:rPr>
                <w:rFonts w:asciiTheme="majorBidi" w:hAnsiTheme="majorBidi" w:cstheme="majorBidi"/>
                <w:sz w:val="22"/>
                <w:szCs w:val="22"/>
              </w:rPr>
            </w:pPr>
            <w:r>
              <w:rPr>
                <w:rFonts w:asciiTheme="majorBidi" w:hAnsiTheme="majorBidi" w:cstheme="majorBidi"/>
                <w:sz w:val="22"/>
                <w:szCs w:val="22"/>
              </w:rPr>
              <w:t>(a)</w:t>
            </w:r>
          </w:p>
        </w:tc>
        <w:tc>
          <w:tcPr>
            <w:tcW w:w="6619" w:type="dxa"/>
            <w:gridSpan w:val="3"/>
          </w:tcPr>
          <w:p w14:paraId="5A6FCBF9" w14:textId="3A5AB976" w:rsidR="00142A4E" w:rsidRPr="00872617" w:rsidRDefault="00571850" w:rsidP="004730DA">
            <w:pPr>
              <w:spacing w:line="360" w:lineRule="auto"/>
              <w:jc w:val="both"/>
              <w:rPr>
                <w:rFonts w:asciiTheme="majorBidi" w:hAnsiTheme="majorBidi" w:cstheme="majorBidi"/>
              </w:rPr>
            </w:pPr>
            <w:r w:rsidRPr="004730DA">
              <w:rPr>
                <w:rFonts w:asciiTheme="majorBidi" w:hAnsiTheme="majorBidi" w:cstheme="majorBidi"/>
              </w:rPr>
              <w:t xml:space="preserve">“Act” shall mean Law No: 2/2006 (Maldives Securities Act). </w:t>
            </w:r>
          </w:p>
        </w:tc>
      </w:tr>
      <w:tr w:rsidR="00571850" w14:paraId="10F9FDAB" w14:textId="77777777" w:rsidTr="00D250C6">
        <w:trPr>
          <w:trHeight w:val="884"/>
        </w:trPr>
        <w:tc>
          <w:tcPr>
            <w:tcW w:w="2055" w:type="dxa"/>
          </w:tcPr>
          <w:p w14:paraId="3959E60B" w14:textId="77777777" w:rsidR="00571850" w:rsidRDefault="00571850" w:rsidP="00571850">
            <w:pPr>
              <w:rPr>
                <w:rFonts w:asciiTheme="majorBidi" w:hAnsiTheme="majorBidi" w:cstheme="majorBidi"/>
                <w:sz w:val="22"/>
                <w:szCs w:val="22"/>
              </w:rPr>
            </w:pPr>
          </w:p>
        </w:tc>
        <w:tc>
          <w:tcPr>
            <w:tcW w:w="627" w:type="dxa"/>
          </w:tcPr>
          <w:p w14:paraId="48DAF509" w14:textId="77777777" w:rsidR="00571850" w:rsidRDefault="00571850" w:rsidP="00571850">
            <w:pPr>
              <w:rPr>
                <w:rFonts w:asciiTheme="majorBidi" w:hAnsiTheme="majorBidi" w:cstheme="majorBidi"/>
                <w:sz w:val="22"/>
                <w:szCs w:val="22"/>
              </w:rPr>
            </w:pPr>
          </w:p>
        </w:tc>
        <w:tc>
          <w:tcPr>
            <w:tcW w:w="628" w:type="dxa"/>
          </w:tcPr>
          <w:p w14:paraId="12F72739" w14:textId="6745D47D" w:rsidR="00571850" w:rsidRDefault="00571850" w:rsidP="004730DA">
            <w:pPr>
              <w:spacing w:line="360" w:lineRule="auto"/>
              <w:jc w:val="both"/>
              <w:rPr>
                <w:rFonts w:asciiTheme="majorBidi" w:hAnsiTheme="majorBidi" w:cstheme="majorBidi"/>
                <w:sz w:val="22"/>
                <w:szCs w:val="22"/>
              </w:rPr>
            </w:pPr>
            <w:r>
              <w:rPr>
                <w:rFonts w:asciiTheme="majorBidi" w:hAnsiTheme="majorBidi" w:cstheme="majorBidi"/>
                <w:sz w:val="22"/>
                <w:szCs w:val="22"/>
              </w:rPr>
              <w:t>(b)</w:t>
            </w:r>
          </w:p>
        </w:tc>
        <w:tc>
          <w:tcPr>
            <w:tcW w:w="6619" w:type="dxa"/>
            <w:gridSpan w:val="3"/>
          </w:tcPr>
          <w:p w14:paraId="2EA87E17" w14:textId="0E48DBAE" w:rsidR="00571850" w:rsidRPr="00872617" w:rsidRDefault="00571850" w:rsidP="004730DA">
            <w:pPr>
              <w:spacing w:line="360" w:lineRule="auto"/>
              <w:jc w:val="both"/>
              <w:rPr>
                <w:rFonts w:asciiTheme="majorBidi" w:hAnsiTheme="majorBidi" w:cstheme="majorBidi"/>
              </w:rPr>
            </w:pPr>
            <w:r w:rsidRPr="004730DA">
              <w:rPr>
                <w:rFonts w:asciiTheme="majorBidi" w:hAnsiTheme="majorBidi" w:cstheme="majorBidi"/>
              </w:rPr>
              <w:t xml:space="preserve">“Authority” shall mean the Capital Market Development Authority established under Law No: 2/2006 (Maldives Securities Act). </w:t>
            </w:r>
          </w:p>
        </w:tc>
      </w:tr>
      <w:tr w:rsidR="00571850" w14:paraId="4CC3E8EE" w14:textId="77777777" w:rsidTr="00D250C6">
        <w:trPr>
          <w:trHeight w:val="884"/>
        </w:trPr>
        <w:tc>
          <w:tcPr>
            <w:tcW w:w="2055" w:type="dxa"/>
          </w:tcPr>
          <w:p w14:paraId="61853D45" w14:textId="77777777" w:rsidR="00571850" w:rsidRDefault="00571850" w:rsidP="00571850">
            <w:pPr>
              <w:rPr>
                <w:rFonts w:asciiTheme="majorBidi" w:hAnsiTheme="majorBidi" w:cstheme="majorBidi"/>
                <w:sz w:val="22"/>
                <w:szCs w:val="22"/>
              </w:rPr>
            </w:pPr>
          </w:p>
        </w:tc>
        <w:tc>
          <w:tcPr>
            <w:tcW w:w="627" w:type="dxa"/>
          </w:tcPr>
          <w:p w14:paraId="4F8C6A17" w14:textId="77777777" w:rsidR="00571850" w:rsidRDefault="00571850" w:rsidP="00571850">
            <w:pPr>
              <w:rPr>
                <w:rFonts w:asciiTheme="majorBidi" w:hAnsiTheme="majorBidi" w:cstheme="majorBidi"/>
                <w:sz w:val="22"/>
                <w:szCs w:val="22"/>
              </w:rPr>
            </w:pPr>
          </w:p>
        </w:tc>
        <w:tc>
          <w:tcPr>
            <w:tcW w:w="628" w:type="dxa"/>
          </w:tcPr>
          <w:p w14:paraId="58CECF04" w14:textId="485C35E6" w:rsidR="00571850" w:rsidRDefault="00571850" w:rsidP="004730DA">
            <w:pPr>
              <w:spacing w:line="360" w:lineRule="auto"/>
              <w:jc w:val="both"/>
              <w:rPr>
                <w:rFonts w:asciiTheme="majorBidi" w:hAnsiTheme="majorBidi" w:cstheme="majorBidi"/>
                <w:sz w:val="22"/>
                <w:szCs w:val="22"/>
              </w:rPr>
            </w:pPr>
            <w:r>
              <w:rPr>
                <w:rFonts w:asciiTheme="majorBidi" w:hAnsiTheme="majorBidi" w:cstheme="majorBidi"/>
                <w:sz w:val="22"/>
                <w:szCs w:val="22"/>
              </w:rPr>
              <w:t>(c)</w:t>
            </w:r>
          </w:p>
        </w:tc>
        <w:tc>
          <w:tcPr>
            <w:tcW w:w="6619" w:type="dxa"/>
            <w:gridSpan w:val="3"/>
          </w:tcPr>
          <w:p w14:paraId="10E8C46B" w14:textId="2D30CCAA" w:rsidR="00571850" w:rsidRPr="00872617" w:rsidRDefault="00571850" w:rsidP="004730DA">
            <w:pPr>
              <w:spacing w:line="360" w:lineRule="auto"/>
              <w:jc w:val="both"/>
              <w:rPr>
                <w:rFonts w:asciiTheme="majorBidi" w:hAnsiTheme="majorBidi" w:cstheme="majorBidi"/>
              </w:rPr>
            </w:pPr>
            <w:r w:rsidRPr="00571850">
              <w:rPr>
                <w:rFonts w:asciiTheme="majorBidi" w:hAnsiTheme="majorBidi" w:cstheme="majorBidi"/>
              </w:rPr>
              <w:t xml:space="preserve">“Sandbox” </w:t>
            </w:r>
            <w:r>
              <w:rPr>
                <w:rFonts w:asciiTheme="majorBidi" w:hAnsiTheme="majorBidi" w:cstheme="majorBidi"/>
              </w:rPr>
              <w:t xml:space="preserve">shall </w:t>
            </w:r>
            <w:r w:rsidRPr="00571850">
              <w:rPr>
                <w:rFonts w:asciiTheme="majorBidi" w:hAnsiTheme="majorBidi" w:cstheme="majorBidi"/>
              </w:rPr>
              <w:t>mean a system in which new products and services are tested and experimented with in a controlled environment prior to their market introduction.</w:t>
            </w:r>
          </w:p>
        </w:tc>
      </w:tr>
      <w:tr w:rsidR="00571850" w14:paraId="4934F3A9" w14:textId="77777777" w:rsidTr="00D250C6">
        <w:trPr>
          <w:trHeight w:val="884"/>
        </w:trPr>
        <w:tc>
          <w:tcPr>
            <w:tcW w:w="2055" w:type="dxa"/>
          </w:tcPr>
          <w:p w14:paraId="12CBC4CF" w14:textId="77777777" w:rsidR="00571850" w:rsidRDefault="00571850" w:rsidP="00571850">
            <w:pPr>
              <w:rPr>
                <w:rFonts w:asciiTheme="majorBidi" w:hAnsiTheme="majorBidi" w:cstheme="majorBidi"/>
                <w:sz w:val="22"/>
                <w:szCs w:val="22"/>
              </w:rPr>
            </w:pPr>
          </w:p>
        </w:tc>
        <w:tc>
          <w:tcPr>
            <w:tcW w:w="627" w:type="dxa"/>
          </w:tcPr>
          <w:p w14:paraId="2E4A0494" w14:textId="77777777" w:rsidR="00571850" w:rsidRDefault="00571850" w:rsidP="00571850">
            <w:pPr>
              <w:rPr>
                <w:rFonts w:asciiTheme="majorBidi" w:hAnsiTheme="majorBidi" w:cstheme="majorBidi"/>
                <w:sz w:val="22"/>
                <w:szCs w:val="22"/>
              </w:rPr>
            </w:pPr>
          </w:p>
        </w:tc>
        <w:tc>
          <w:tcPr>
            <w:tcW w:w="628" w:type="dxa"/>
          </w:tcPr>
          <w:p w14:paraId="689E7143" w14:textId="4CE53718" w:rsidR="00571850" w:rsidRDefault="00571850" w:rsidP="004730DA">
            <w:pPr>
              <w:spacing w:line="360" w:lineRule="auto"/>
              <w:jc w:val="both"/>
              <w:rPr>
                <w:rFonts w:asciiTheme="majorBidi" w:hAnsiTheme="majorBidi" w:cstheme="majorBidi"/>
                <w:sz w:val="22"/>
                <w:szCs w:val="22"/>
              </w:rPr>
            </w:pPr>
            <w:r>
              <w:rPr>
                <w:rFonts w:asciiTheme="majorBidi" w:hAnsiTheme="majorBidi" w:cstheme="majorBidi"/>
                <w:sz w:val="22"/>
                <w:szCs w:val="22"/>
              </w:rPr>
              <w:t>(d)</w:t>
            </w:r>
          </w:p>
        </w:tc>
        <w:tc>
          <w:tcPr>
            <w:tcW w:w="6619" w:type="dxa"/>
            <w:gridSpan w:val="3"/>
          </w:tcPr>
          <w:p w14:paraId="216C0CD4" w14:textId="70B01F6A" w:rsidR="00571850" w:rsidRPr="00872617" w:rsidRDefault="00571850" w:rsidP="004730DA">
            <w:pPr>
              <w:spacing w:line="360" w:lineRule="auto"/>
              <w:jc w:val="both"/>
              <w:rPr>
                <w:rFonts w:asciiTheme="majorBidi" w:hAnsiTheme="majorBidi" w:cstheme="majorBidi"/>
              </w:rPr>
            </w:pPr>
            <w:r w:rsidRPr="00571850">
              <w:rPr>
                <w:rFonts w:asciiTheme="majorBidi" w:hAnsiTheme="majorBidi" w:cstheme="majorBidi"/>
              </w:rPr>
              <w:t xml:space="preserve">“Sandbox Participants,” “participants,” or “applicants” </w:t>
            </w:r>
            <w:r>
              <w:rPr>
                <w:rFonts w:asciiTheme="majorBidi" w:hAnsiTheme="majorBidi" w:cstheme="majorBidi"/>
              </w:rPr>
              <w:t xml:space="preserve">shall </w:t>
            </w:r>
            <w:r w:rsidRPr="00571850">
              <w:rPr>
                <w:rFonts w:asciiTheme="majorBidi" w:hAnsiTheme="majorBidi" w:cstheme="majorBidi"/>
              </w:rPr>
              <w:t>mean legal entities that apply to</w:t>
            </w:r>
            <w:r>
              <w:rPr>
                <w:rFonts w:asciiTheme="majorBidi" w:hAnsiTheme="majorBidi" w:cstheme="majorBidi"/>
              </w:rPr>
              <w:t xml:space="preserve"> the authority to</w:t>
            </w:r>
            <w:r w:rsidRPr="00571850">
              <w:rPr>
                <w:rFonts w:asciiTheme="majorBidi" w:hAnsiTheme="majorBidi" w:cstheme="majorBidi"/>
              </w:rPr>
              <w:t xml:space="preserve"> participate in the Sandbox and test a product or service within it.</w:t>
            </w:r>
          </w:p>
        </w:tc>
      </w:tr>
      <w:tr w:rsidR="00571850" w14:paraId="0121EED0" w14:textId="77777777" w:rsidTr="00D250C6">
        <w:trPr>
          <w:trHeight w:val="884"/>
        </w:trPr>
        <w:tc>
          <w:tcPr>
            <w:tcW w:w="2055" w:type="dxa"/>
          </w:tcPr>
          <w:p w14:paraId="0F7481A6" w14:textId="77777777" w:rsidR="00571850" w:rsidRDefault="00571850" w:rsidP="00571850">
            <w:pPr>
              <w:rPr>
                <w:rFonts w:asciiTheme="majorBidi" w:hAnsiTheme="majorBidi" w:cstheme="majorBidi"/>
                <w:sz w:val="22"/>
                <w:szCs w:val="22"/>
              </w:rPr>
            </w:pPr>
          </w:p>
        </w:tc>
        <w:tc>
          <w:tcPr>
            <w:tcW w:w="627" w:type="dxa"/>
          </w:tcPr>
          <w:p w14:paraId="039E7C53" w14:textId="77777777" w:rsidR="00571850" w:rsidRDefault="00571850" w:rsidP="00571850">
            <w:pPr>
              <w:rPr>
                <w:rFonts w:asciiTheme="majorBidi" w:hAnsiTheme="majorBidi" w:cstheme="majorBidi"/>
                <w:sz w:val="22"/>
                <w:szCs w:val="22"/>
              </w:rPr>
            </w:pPr>
          </w:p>
        </w:tc>
        <w:tc>
          <w:tcPr>
            <w:tcW w:w="628" w:type="dxa"/>
          </w:tcPr>
          <w:p w14:paraId="72142669" w14:textId="3C798071" w:rsidR="00571850" w:rsidRDefault="00571850" w:rsidP="004730DA">
            <w:pPr>
              <w:spacing w:line="360" w:lineRule="auto"/>
              <w:jc w:val="both"/>
              <w:rPr>
                <w:rFonts w:asciiTheme="majorBidi" w:hAnsiTheme="majorBidi" w:cstheme="majorBidi"/>
                <w:sz w:val="22"/>
                <w:szCs w:val="22"/>
              </w:rPr>
            </w:pPr>
            <w:r>
              <w:rPr>
                <w:rFonts w:asciiTheme="majorBidi" w:hAnsiTheme="majorBidi" w:cstheme="majorBidi"/>
                <w:sz w:val="22"/>
                <w:szCs w:val="22"/>
              </w:rPr>
              <w:t>(e)</w:t>
            </w:r>
          </w:p>
        </w:tc>
        <w:tc>
          <w:tcPr>
            <w:tcW w:w="6619" w:type="dxa"/>
            <w:gridSpan w:val="3"/>
          </w:tcPr>
          <w:p w14:paraId="0A127512" w14:textId="2F3D18D2" w:rsidR="00571850" w:rsidRPr="00624D44" w:rsidRDefault="00571850" w:rsidP="00624D44">
            <w:pPr>
              <w:spacing w:line="360" w:lineRule="auto"/>
              <w:jc w:val="both"/>
              <w:rPr>
                <w:rFonts w:asciiTheme="majorBidi" w:hAnsiTheme="majorBidi" w:cstheme="majorBidi"/>
              </w:rPr>
            </w:pPr>
            <w:r w:rsidRPr="00571850">
              <w:rPr>
                <w:rFonts w:asciiTheme="majorBidi" w:hAnsiTheme="majorBidi" w:cstheme="majorBidi"/>
              </w:rPr>
              <w:t>“Deployment”</w:t>
            </w:r>
            <w:r>
              <w:rPr>
                <w:rFonts w:asciiTheme="majorBidi" w:hAnsiTheme="majorBidi" w:cstheme="majorBidi"/>
              </w:rPr>
              <w:t xml:space="preserve"> </w:t>
            </w:r>
            <w:r w:rsidR="00624D44">
              <w:rPr>
                <w:rFonts w:asciiTheme="majorBidi" w:hAnsiTheme="majorBidi" w:cstheme="majorBidi"/>
              </w:rPr>
              <w:t xml:space="preserve">or “deploying” </w:t>
            </w:r>
            <w:r>
              <w:rPr>
                <w:rFonts w:asciiTheme="majorBidi" w:hAnsiTheme="majorBidi" w:cstheme="majorBidi"/>
              </w:rPr>
              <w:t>shall</w:t>
            </w:r>
            <w:r w:rsidRPr="00571850">
              <w:rPr>
                <w:rFonts w:asciiTheme="majorBidi" w:hAnsiTheme="majorBidi" w:cstheme="majorBidi"/>
              </w:rPr>
              <w:t xml:space="preserve"> mean the broad introduction of new products or services to the capital market, with the approval of the Authority, following testing in the Sandbox.</w:t>
            </w:r>
          </w:p>
        </w:tc>
      </w:tr>
      <w:tr w:rsidR="00571850" w14:paraId="60E2E021" w14:textId="77777777" w:rsidTr="00D250C6">
        <w:trPr>
          <w:trHeight w:val="884"/>
        </w:trPr>
        <w:tc>
          <w:tcPr>
            <w:tcW w:w="2055" w:type="dxa"/>
          </w:tcPr>
          <w:p w14:paraId="0DD348AE" w14:textId="77777777" w:rsidR="00571850" w:rsidRDefault="00571850" w:rsidP="00571850">
            <w:pPr>
              <w:rPr>
                <w:rFonts w:asciiTheme="majorBidi" w:hAnsiTheme="majorBidi" w:cstheme="majorBidi"/>
                <w:sz w:val="22"/>
                <w:szCs w:val="22"/>
              </w:rPr>
            </w:pPr>
          </w:p>
        </w:tc>
        <w:tc>
          <w:tcPr>
            <w:tcW w:w="627" w:type="dxa"/>
          </w:tcPr>
          <w:p w14:paraId="7D97E7A4" w14:textId="77777777" w:rsidR="00571850" w:rsidRDefault="00571850" w:rsidP="00571850">
            <w:pPr>
              <w:rPr>
                <w:rFonts w:asciiTheme="majorBidi" w:hAnsiTheme="majorBidi" w:cstheme="majorBidi"/>
                <w:sz w:val="22"/>
                <w:szCs w:val="22"/>
              </w:rPr>
            </w:pPr>
          </w:p>
        </w:tc>
        <w:tc>
          <w:tcPr>
            <w:tcW w:w="628" w:type="dxa"/>
          </w:tcPr>
          <w:p w14:paraId="479E7F44" w14:textId="5EE7E074" w:rsidR="00571850" w:rsidRDefault="00571850" w:rsidP="004730DA">
            <w:pPr>
              <w:spacing w:line="360" w:lineRule="auto"/>
              <w:jc w:val="both"/>
              <w:rPr>
                <w:rFonts w:asciiTheme="majorBidi" w:hAnsiTheme="majorBidi" w:cstheme="majorBidi"/>
                <w:sz w:val="22"/>
                <w:szCs w:val="22"/>
              </w:rPr>
            </w:pPr>
            <w:r>
              <w:rPr>
                <w:rFonts w:asciiTheme="majorBidi" w:hAnsiTheme="majorBidi" w:cstheme="majorBidi"/>
                <w:sz w:val="22"/>
                <w:szCs w:val="22"/>
              </w:rPr>
              <w:t>(f)</w:t>
            </w:r>
          </w:p>
        </w:tc>
        <w:tc>
          <w:tcPr>
            <w:tcW w:w="6619" w:type="dxa"/>
            <w:gridSpan w:val="3"/>
          </w:tcPr>
          <w:p w14:paraId="26853F87" w14:textId="3D0904A6" w:rsidR="00571850" w:rsidRPr="00872617" w:rsidRDefault="004730DA" w:rsidP="004730DA">
            <w:pPr>
              <w:spacing w:line="360" w:lineRule="auto"/>
              <w:jc w:val="both"/>
              <w:rPr>
                <w:rFonts w:asciiTheme="majorBidi" w:hAnsiTheme="majorBidi" w:cstheme="majorBidi"/>
              </w:rPr>
            </w:pPr>
            <w:r w:rsidRPr="004730DA">
              <w:rPr>
                <w:rFonts w:asciiTheme="majorBidi" w:hAnsiTheme="majorBidi" w:cstheme="majorBidi"/>
              </w:rPr>
              <w:t xml:space="preserve">“Senior Officials” </w:t>
            </w:r>
            <w:r>
              <w:rPr>
                <w:rFonts w:asciiTheme="majorBidi" w:hAnsiTheme="majorBidi" w:cstheme="majorBidi"/>
              </w:rPr>
              <w:t xml:space="preserve">shall </w:t>
            </w:r>
            <w:r w:rsidRPr="004730DA">
              <w:rPr>
                <w:rFonts w:asciiTheme="majorBidi" w:hAnsiTheme="majorBidi" w:cstheme="majorBidi"/>
              </w:rPr>
              <w:t xml:space="preserve">mean, in the case </w:t>
            </w:r>
            <w:r>
              <w:rPr>
                <w:rFonts w:asciiTheme="majorBidi" w:hAnsiTheme="majorBidi" w:cstheme="majorBidi"/>
              </w:rPr>
              <w:t>the applicant is a</w:t>
            </w:r>
            <w:r w:rsidRPr="004730DA">
              <w:rPr>
                <w:rFonts w:asciiTheme="majorBidi" w:hAnsiTheme="majorBidi" w:cstheme="majorBidi"/>
              </w:rPr>
              <w:t xml:space="preserve"> company, its directors, and in the case of a partnership, its partners.</w:t>
            </w:r>
          </w:p>
        </w:tc>
      </w:tr>
      <w:tr w:rsidR="00571850" w14:paraId="07A0BC44" w14:textId="77777777" w:rsidTr="00D250C6">
        <w:trPr>
          <w:trHeight w:val="884"/>
        </w:trPr>
        <w:tc>
          <w:tcPr>
            <w:tcW w:w="2055" w:type="dxa"/>
          </w:tcPr>
          <w:p w14:paraId="47B6086E" w14:textId="77777777" w:rsidR="00571850" w:rsidRDefault="00571850" w:rsidP="00571850">
            <w:pPr>
              <w:rPr>
                <w:rFonts w:asciiTheme="majorBidi" w:hAnsiTheme="majorBidi" w:cstheme="majorBidi"/>
                <w:sz w:val="22"/>
                <w:szCs w:val="22"/>
              </w:rPr>
            </w:pPr>
          </w:p>
        </w:tc>
        <w:tc>
          <w:tcPr>
            <w:tcW w:w="627" w:type="dxa"/>
          </w:tcPr>
          <w:p w14:paraId="2D6E4213" w14:textId="77777777" w:rsidR="00571850" w:rsidRDefault="00571850" w:rsidP="00571850">
            <w:pPr>
              <w:rPr>
                <w:rFonts w:asciiTheme="majorBidi" w:hAnsiTheme="majorBidi" w:cstheme="majorBidi"/>
                <w:sz w:val="22"/>
                <w:szCs w:val="22"/>
              </w:rPr>
            </w:pPr>
          </w:p>
        </w:tc>
        <w:tc>
          <w:tcPr>
            <w:tcW w:w="628" w:type="dxa"/>
          </w:tcPr>
          <w:p w14:paraId="79E99968" w14:textId="223C8A44" w:rsidR="00571850" w:rsidRDefault="00571850" w:rsidP="004730DA">
            <w:pPr>
              <w:spacing w:line="360" w:lineRule="auto"/>
              <w:jc w:val="both"/>
              <w:rPr>
                <w:rFonts w:asciiTheme="majorBidi" w:hAnsiTheme="majorBidi" w:cstheme="majorBidi"/>
                <w:sz w:val="22"/>
                <w:szCs w:val="22"/>
              </w:rPr>
            </w:pPr>
            <w:r>
              <w:rPr>
                <w:rFonts w:asciiTheme="majorBidi" w:hAnsiTheme="majorBidi" w:cstheme="majorBidi"/>
                <w:sz w:val="22"/>
                <w:szCs w:val="22"/>
              </w:rPr>
              <w:t>(g)</w:t>
            </w:r>
          </w:p>
        </w:tc>
        <w:tc>
          <w:tcPr>
            <w:tcW w:w="6619" w:type="dxa"/>
            <w:gridSpan w:val="3"/>
          </w:tcPr>
          <w:p w14:paraId="11AF2811" w14:textId="6480D8FA" w:rsidR="00571850" w:rsidRPr="004730DA" w:rsidRDefault="004730DA" w:rsidP="004730DA">
            <w:pPr>
              <w:spacing w:line="360" w:lineRule="auto"/>
              <w:jc w:val="both"/>
              <w:rPr>
                <w:rFonts w:asciiTheme="majorBidi" w:hAnsiTheme="majorBidi" w:cstheme="majorBidi"/>
              </w:rPr>
            </w:pPr>
            <w:r w:rsidRPr="004730DA">
              <w:rPr>
                <w:rFonts w:asciiTheme="majorBidi" w:hAnsiTheme="majorBidi" w:cstheme="majorBidi"/>
              </w:rPr>
              <w:t>“Sophisticated Investors” shall mean natural persons with an annual income of at least MVR 720,000 (seven hundred and twenty thousand) or more and capable of making investment decisions independently, or legal entities with total assets of MVR 2,000,000 (two million) or more, including eligible nationals and foreign investors registered with the Authority under Regulation No. 2025/R-97 (Regulation on Investment in Securities by Foreign Investors).</w:t>
            </w:r>
          </w:p>
        </w:tc>
      </w:tr>
      <w:tr w:rsidR="00571850" w14:paraId="1D9DB4D5" w14:textId="77777777" w:rsidTr="004730DA">
        <w:trPr>
          <w:trHeight w:val="720"/>
        </w:trPr>
        <w:tc>
          <w:tcPr>
            <w:tcW w:w="2055" w:type="dxa"/>
          </w:tcPr>
          <w:p w14:paraId="3C6336FF" w14:textId="77777777" w:rsidR="00571850" w:rsidRDefault="00571850" w:rsidP="00571850">
            <w:pPr>
              <w:rPr>
                <w:rFonts w:asciiTheme="majorBidi" w:hAnsiTheme="majorBidi" w:cstheme="majorBidi"/>
                <w:sz w:val="22"/>
                <w:szCs w:val="22"/>
              </w:rPr>
            </w:pPr>
          </w:p>
        </w:tc>
        <w:tc>
          <w:tcPr>
            <w:tcW w:w="627" w:type="dxa"/>
          </w:tcPr>
          <w:p w14:paraId="4541BA9D" w14:textId="77777777" w:rsidR="00571850" w:rsidRDefault="00571850" w:rsidP="00571850">
            <w:pPr>
              <w:rPr>
                <w:rFonts w:asciiTheme="majorBidi" w:hAnsiTheme="majorBidi" w:cstheme="majorBidi"/>
                <w:sz w:val="22"/>
                <w:szCs w:val="22"/>
              </w:rPr>
            </w:pPr>
          </w:p>
        </w:tc>
        <w:tc>
          <w:tcPr>
            <w:tcW w:w="628" w:type="dxa"/>
          </w:tcPr>
          <w:p w14:paraId="05A0FB0C" w14:textId="0D9C010B" w:rsidR="00571850" w:rsidRDefault="00571850" w:rsidP="004730DA">
            <w:pPr>
              <w:spacing w:line="360" w:lineRule="auto"/>
              <w:jc w:val="both"/>
              <w:rPr>
                <w:rFonts w:asciiTheme="majorBidi" w:hAnsiTheme="majorBidi" w:cstheme="majorBidi"/>
                <w:sz w:val="22"/>
                <w:szCs w:val="22"/>
              </w:rPr>
            </w:pPr>
            <w:r>
              <w:rPr>
                <w:rFonts w:asciiTheme="majorBidi" w:hAnsiTheme="majorBidi" w:cstheme="majorBidi"/>
                <w:sz w:val="22"/>
                <w:szCs w:val="22"/>
              </w:rPr>
              <w:t>(h)</w:t>
            </w:r>
          </w:p>
        </w:tc>
        <w:tc>
          <w:tcPr>
            <w:tcW w:w="6619" w:type="dxa"/>
            <w:gridSpan w:val="3"/>
          </w:tcPr>
          <w:p w14:paraId="0BCB9EF4" w14:textId="30689E70" w:rsidR="00571850" w:rsidRPr="004730DA" w:rsidRDefault="004730DA" w:rsidP="004730DA">
            <w:pPr>
              <w:spacing w:line="360" w:lineRule="auto"/>
              <w:jc w:val="both"/>
              <w:rPr>
                <w:rFonts w:asciiTheme="majorBidi" w:hAnsiTheme="majorBidi" w:cstheme="majorBidi"/>
              </w:rPr>
            </w:pPr>
            <w:r w:rsidRPr="004730DA">
              <w:rPr>
                <w:rFonts w:asciiTheme="majorBidi" w:hAnsiTheme="majorBidi" w:cstheme="majorBidi"/>
              </w:rPr>
              <w:t>“Experts” shall mean technical specialists possessing specific skills and experience in relevant fields.</w:t>
            </w:r>
          </w:p>
        </w:tc>
      </w:tr>
      <w:tr w:rsidR="004730DA" w14:paraId="795584A0" w14:textId="77777777" w:rsidTr="004730DA">
        <w:trPr>
          <w:trHeight w:val="720"/>
        </w:trPr>
        <w:tc>
          <w:tcPr>
            <w:tcW w:w="2055" w:type="dxa"/>
          </w:tcPr>
          <w:p w14:paraId="04474319" w14:textId="6B062CA1" w:rsidR="004730DA" w:rsidRPr="004730DA" w:rsidRDefault="004730DA" w:rsidP="004730DA">
            <w:pPr>
              <w:rPr>
                <w:rFonts w:asciiTheme="majorBidi" w:hAnsiTheme="majorBidi" w:cstheme="majorBidi"/>
                <w:sz w:val="22"/>
                <w:szCs w:val="22"/>
              </w:rPr>
            </w:pPr>
            <w:r w:rsidRPr="004730DA">
              <w:rPr>
                <w:rFonts w:asciiTheme="majorBidi" w:hAnsiTheme="majorBidi" w:cstheme="majorBidi"/>
                <w:sz w:val="22"/>
                <w:szCs w:val="22"/>
                <w:lang w:val="en-GB"/>
              </w:rPr>
              <w:t>Commencement</w:t>
            </w:r>
          </w:p>
        </w:tc>
        <w:tc>
          <w:tcPr>
            <w:tcW w:w="627" w:type="dxa"/>
          </w:tcPr>
          <w:p w14:paraId="3CE5CFED" w14:textId="765CC7D4" w:rsidR="004730DA" w:rsidRPr="00723245" w:rsidRDefault="004730DA" w:rsidP="004730DA">
            <w:pPr>
              <w:rPr>
                <w:rFonts w:asciiTheme="majorBidi" w:hAnsiTheme="majorBidi" w:cs="MV Boli"/>
                <w:sz w:val="22"/>
                <w:szCs w:val="22"/>
                <w:lang w:bidi="dv-MV"/>
              </w:rPr>
            </w:pPr>
            <w:r>
              <w:rPr>
                <w:rFonts w:asciiTheme="majorBidi" w:hAnsiTheme="majorBidi" w:cs="MV Boli"/>
                <w:sz w:val="22"/>
                <w:szCs w:val="22"/>
                <w:lang w:bidi="dv-MV"/>
              </w:rPr>
              <w:t>25.</w:t>
            </w:r>
          </w:p>
        </w:tc>
        <w:tc>
          <w:tcPr>
            <w:tcW w:w="7247" w:type="dxa"/>
            <w:gridSpan w:val="4"/>
          </w:tcPr>
          <w:p w14:paraId="162089DC" w14:textId="4E434226" w:rsidR="004730DA" w:rsidRPr="00872617" w:rsidRDefault="004730DA" w:rsidP="004730DA">
            <w:pPr>
              <w:spacing w:line="360" w:lineRule="auto"/>
              <w:jc w:val="both"/>
              <w:rPr>
                <w:rFonts w:asciiTheme="majorBidi" w:hAnsiTheme="majorBidi" w:cstheme="majorBidi"/>
              </w:rPr>
            </w:pPr>
            <w:r w:rsidRPr="004730DA">
              <w:rPr>
                <w:rFonts w:asciiTheme="majorBidi" w:hAnsiTheme="majorBidi" w:cstheme="majorBidi"/>
              </w:rPr>
              <w:t>This Regulation shall come into effect on the date it is published on the Gazette</w:t>
            </w:r>
            <w:r>
              <w:rPr>
                <w:rFonts w:asciiTheme="majorBidi" w:hAnsiTheme="majorBidi" w:cstheme="majorBidi"/>
              </w:rPr>
              <w:t>.</w:t>
            </w:r>
          </w:p>
        </w:tc>
      </w:tr>
    </w:tbl>
    <w:p w14:paraId="71B142F3" w14:textId="77777777" w:rsidR="00AB2CBC" w:rsidRDefault="00AB2CBC" w:rsidP="00AB2CBC">
      <w:pPr>
        <w:jc w:val="center"/>
        <w:rPr>
          <w:rFonts w:asciiTheme="majorBidi" w:hAnsiTheme="majorBidi" w:cstheme="majorBidi"/>
          <w:sz w:val="22"/>
          <w:szCs w:val="22"/>
        </w:rPr>
      </w:pPr>
    </w:p>
    <w:p w14:paraId="2F57E295" w14:textId="77777777" w:rsidR="006528D2" w:rsidRDefault="006528D2" w:rsidP="00AB2CBC">
      <w:pPr>
        <w:jc w:val="center"/>
        <w:rPr>
          <w:rFonts w:asciiTheme="majorBidi" w:hAnsiTheme="majorBidi" w:cstheme="majorBidi"/>
          <w:sz w:val="22"/>
          <w:szCs w:val="22"/>
        </w:rPr>
      </w:pPr>
    </w:p>
    <w:p w14:paraId="0BCF89C7" w14:textId="77777777" w:rsidR="006528D2" w:rsidRPr="006528D2" w:rsidRDefault="006528D2" w:rsidP="006528D2">
      <w:pPr>
        <w:jc w:val="center"/>
        <w:rPr>
          <w:rFonts w:asciiTheme="majorBidi" w:hAnsiTheme="majorBidi" w:cstheme="majorBidi"/>
          <w:sz w:val="22"/>
          <w:szCs w:val="22"/>
        </w:rPr>
      </w:pPr>
    </w:p>
    <w:p w14:paraId="5BEF01DA" w14:textId="5668064E" w:rsidR="006528D2" w:rsidRPr="00AB2CBC" w:rsidRDefault="006528D2" w:rsidP="004730DA">
      <w:pPr>
        <w:jc w:val="center"/>
        <w:rPr>
          <w:rFonts w:asciiTheme="majorBidi" w:hAnsiTheme="majorBidi" w:cstheme="majorBidi"/>
          <w:sz w:val="22"/>
          <w:szCs w:val="22"/>
        </w:rPr>
      </w:pPr>
      <w:r w:rsidRPr="006528D2">
        <w:rPr>
          <w:rFonts w:asciiTheme="majorBidi" w:hAnsiTheme="majorBidi" w:cstheme="majorBidi"/>
          <w:sz w:val="22"/>
          <w:szCs w:val="22"/>
        </w:rPr>
        <w:t xml:space="preserve">                </w:t>
      </w:r>
    </w:p>
    <w:sectPr w:rsidR="006528D2" w:rsidRPr="00AB2CBC" w:rsidSect="006528D2">
      <w:headerReference w:type="default" r:id="rId7"/>
      <w:type w:val="continuous"/>
      <w:pgSz w:w="12240" w:h="15840" w:code="1"/>
      <w:pgMar w:top="1440" w:right="1440" w:bottom="1440" w:left="1440" w:header="720" w:footer="720" w:gutter="0"/>
      <w:cols w:space="67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FD947" w14:textId="77777777" w:rsidR="00010076" w:rsidRDefault="00010076" w:rsidP="0039667F">
      <w:pPr>
        <w:spacing w:after="0" w:line="240" w:lineRule="auto"/>
      </w:pPr>
      <w:r>
        <w:separator/>
      </w:r>
    </w:p>
  </w:endnote>
  <w:endnote w:type="continuationSeparator" w:id="0">
    <w:p w14:paraId="43B092BF" w14:textId="77777777" w:rsidR="00010076" w:rsidRDefault="00010076" w:rsidP="00396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V Boli">
    <w:panose1 w:val="02000500030200090000"/>
    <w:charset w:val="00"/>
    <w:family w:val="auto"/>
    <w:pitch w:val="variable"/>
    <w:sig w:usb0="00000003" w:usb1="00000000" w:usb2="000001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D8AF" w14:textId="77777777" w:rsidR="00010076" w:rsidRDefault="00010076" w:rsidP="0039667F">
      <w:pPr>
        <w:spacing w:after="0" w:line="240" w:lineRule="auto"/>
      </w:pPr>
      <w:r>
        <w:separator/>
      </w:r>
    </w:p>
  </w:footnote>
  <w:footnote w:type="continuationSeparator" w:id="0">
    <w:p w14:paraId="4914219E" w14:textId="77777777" w:rsidR="00010076" w:rsidRDefault="00010076" w:rsidP="00396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B77E" w14:textId="77777777" w:rsidR="0039667F" w:rsidRPr="00672037" w:rsidRDefault="0039667F" w:rsidP="0039667F">
    <w:pPr>
      <w:pStyle w:val="Header"/>
      <w:jc w:val="right"/>
      <w:rPr>
        <w:color w:val="EE0000"/>
      </w:rPr>
    </w:pPr>
    <w:r>
      <w:rPr>
        <w:noProof/>
        <w:color w:val="EE0000"/>
      </w:rPr>
      <w:pict w14:anchorId="1D836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917486" o:spid="_x0000_s1025" type="#_x0000_t136" style="position:absolute;left:0;text-align:left;margin-left:0;margin-top:0;width:412.4pt;height:247.4pt;rotation:315;z-index:-251657216;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r w:rsidRPr="00672037">
      <w:rPr>
        <w:color w:val="EE0000"/>
      </w:rPr>
      <w:t>Draft for Public Consultation</w:t>
    </w:r>
  </w:p>
  <w:p w14:paraId="637C2494" w14:textId="77777777" w:rsidR="0039667F" w:rsidRDefault="0039667F" w:rsidP="0039667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AAC"/>
    <w:multiLevelType w:val="multilevel"/>
    <w:tmpl w:val="3DFC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52925"/>
    <w:multiLevelType w:val="multilevel"/>
    <w:tmpl w:val="6918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E591B"/>
    <w:multiLevelType w:val="multilevel"/>
    <w:tmpl w:val="49D0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74CFC"/>
    <w:multiLevelType w:val="multilevel"/>
    <w:tmpl w:val="2912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64352"/>
    <w:multiLevelType w:val="multilevel"/>
    <w:tmpl w:val="D7B6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07A08"/>
    <w:multiLevelType w:val="multilevel"/>
    <w:tmpl w:val="B188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0541F"/>
    <w:multiLevelType w:val="multilevel"/>
    <w:tmpl w:val="D956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33D9F"/>
    <w:multiLevelType w:val="multilevel"/>
    <w:tmpl w:val="5A9C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5F7534"/>
    <w:multiLevelType w:val="multilevel"/>
    <w:tmpl w:val="6060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9D3E69"/>
    <w:multiLevelType w:val="multilevel"/>
    <w:tmpl w:val="1664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C35156"/>
    <w:multiLevelType w:val="multilevel"/>
    <w:tmpl w:val="0FBE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E200DB"/>
    <w:multiLevelType w:val="multilevel"/>
    <w:tmpl w:val="F2B4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E734E4"/>
    <w:multiLevelType w:val="multilevel"/>
    <w:tmpl w:val="9B6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AE5B1A"/>
    <w:multiLevelType w:val="multilevel"/>
    <w:tmpl w:val="8A9E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F14AF6"/>
    <w:multiLevelType w:val="multilevel"/>
    <w:tmpl w:val="FC90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F97E08"/>
    <w:multiLevelType w:val="multilevel"/>
    <w:tmpl w:val="94AA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9018F2"/>
    <w:multiLevelType w:val="multilevel"/>
    <w:tmpl w:val="68B8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DB4AED"/>
    <w:multiLevelType w:val="multilevel"/>
    <w:tmpl w:val="7480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AC1F56"/>
    <w:multiLevelType w:val="multilevel"/>
    <w:tmpl w:val="CEB4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115918"/>
    <w:multiLevelType w:val="multilevel"/>
    <w:tmpl w:val="6BDA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289901">
    <w:abstractNumId w:val="9"/>
  </w:num>
  <w:num w:numId="2" w16cid:durableId="229773499">
    <w:abstractNumId w:val="19"/>
  </w:num>
  <w:num w:numId="3" w16cid:durableId="1065490408">
    <w:abstractNumId w:val="5"/>
  </w:num>
  <w:num w:numId="4" w16cid:durableId="2050301095">
    <w:abstractNumId w:val="17"/>
  </w:num>
  <w:num w:numId="5" w16cid:durableId="350382420">
    <w:abstractNumId w:val="15"/>
  </w:num>
  <w:num w:numId="6" w16cid:durableId="1617443048">
    <w:abstractNumId w:val="3"/>
  </w:num>
  <w:num w:numId="7" w16cid:durableId="498275794">
    <w:abstractNumId w:val="7"/>
  </w:num>
  <w:num w:numId="8" w16cid:durableId="1091241223">
    <w:abstractNumId w:val="14"/>
  </w:num>
  <w:num w:numId="9" w16cid:durableId="1360932332">
    <w:abstractNumId w:val="8"/>
  </w:num>
  <w:num w:numId="10" w16cid:durableId="323704382">
    <w:abstractNumId w:val="2"/>
  </w:num>
  <w:num w:numId="11" w16cid:durableId="986205964">
    <w:abstractNumId w:val="13"/>
  </w:num>
  <w:num w:numId="12" w16cid:durableId="560484472">
    <w:abstractNumId w:val="0"/>
  </w:num>
  <w:num w:numId="13" w16cid:durableId="110321119">
    <w:abstractNumId w:val="1"/>
  </w:num>
  <w:num w:numId="14" w16cid:durableId="228460618">
    <w:abstractNumId w:val="16"/>
  </w:num>
  <w:num w:numId="15" w16cid:durableId="705646352">
    <w:abstractNumId w:val="6"/>
  </w:num>
  <w:num w:numId="16" w16cid:durableId="107357594">
    <w:abstractNumId w:val="10"/>
  </w:num>
  <w:num w:numId="17" w16cid:durableId="736171429">
    <w:abstractNumId w:val="18"/>
  </w:num>
  <w:num w:numId="18" w16cid:durableId="366950575">
    <w:abstractNumId w:val="11"/>
  </w:num>
  <w:num w:numId="19" w16cid:durableId="1872108899">
    <w:abstractNumId w:val="4"/>
  </w:num>
  <w:num w:numId="20" w16cid:durableId="17821436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F0A"/>
    <w:rsid w:val="00010076"/>
    <w:rsid w:val="000A724E"/>
    <w:rsid w:val="000B4EAA"/>
    <w:rsid w:val="000D0F3A"/>
    <w:rsid w:val="000E1957"/>
    <w:rsid w:val="000F6878"/>
    <w:rsid w:val="00107D93"/>
    <w:rsid w:val="00142A4E"/>
    <w:rsid w:val="0014707F"/>
    <w:rsid w:val="00154F7F"/>
    <w:rsid w:val="001F7A13"/>
    <w:rsid w:val="002218B2"/>
    <w:rsid w:val="002732A2"/>
    <w:rsid w:val="00274DE8"/>
    <w:rsid w:val="00301A6D"/>
    <w:rsid w:val="003260D4"/>
    <w:rsid w:val="0032669C"/>
    <w:rsid w:val="00330197"/>
    <w:rsid w:val="0039350F"/>
    <w:rsid w:val="0039667F"/>
    <w:rsid w:val="003A79AF"/>
    <w:rsid w:val="0042098A"/>
    <w:rsid w:val="004730DA"/>
    <w:rsid w:val="00484243"/>
    <w:rsid w:val="004B10A0"/>
    <w:rsid w:val="00571850"/>
    <w:rsid w:val="005E4491"/>
    <w:rsid w:val="00624D44"/>
    <w:rsid w:val="006528D2"/>
    <w:rsid w:val="00660605"/>
    <w:rsid w:val="00723245"/>
    <w:rsid w:val="00774599"/>
    <w:rsid w:val="00774E43"/>
    <w:rsid w:val="00797E11"/>
    <w:rsid w:val="007F366A"/>
    <w:rsid w:val="00810F5A"/>
    <w:rsid w:val="008179EC"/>
    <w:rsid w:val="00872617"/>
    <w:rsid w:val="00876F0A"/>
    <w:rsid w:val="008A1AA3"/>
    <w:rsid w:val="008C28A9"/>
    <w:rsid w:val="008F277D"/>
    <w:rsid w:val="008F6EA0"/>
    <w:rsid w:val="009210BC"/>
    <w:rsid w:val="00960DC6"/>
    <w:rsid w:val="00965AE2"/>
    <w:rsid w:val="00982C57"/>
    <w:rsid w:val="009B3F90"/>
    <w:rsid w:val="00A10E09"/>
    <w:rsid w:val="00AB2CBC"/>
    <w:rsid w:val="00AC25B5"/>
    <w:rsid w:val="00B24146"/>
    <w:rsid w:val="00B748D4"/>
    <w:rsid w:val="00C00239"/>
    <w:rsid w:val="00C234C8"/>
    <w:rsid w:val="00C56918"/>
    <w:rsid w:val="00C7072A"/>
    <w:rsid w:val="00C8197E"/>
    <w:rsid w:val="00CE362F"/>
    <w:rsid w:val="00D15E3D"/>
    <w:rsid w:val="00D21509"/>
    <w:rsid w:val="00D250C6"/>
    <w:rsid w:val="00DF42FC"/>
    <w:rsid w:val="00E73ED1"/>
    <w:rsid w:val="00E842A2"/>
    <w:rsid w:val="00F03705"/>
    <w:rsid w:val="00F45E6C"/>
    <w:rsid w:val="00F921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5D81"/>
  <w15:chartTrackingRefBased/>
  <w15:docId w15:val="{1FD067E3-56C5-4236-A2B6-7DC3CE98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F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F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F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F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F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F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F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F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F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F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F0A"/>
    <w:rPr>
      <w:rFonts w:eastAsiaTheme="majorEastAsia" w:cstheme="majorBidi"/>
      <w:color w:val="272727" w:themeColor="text1" w:themeTint="D8"/>
    </w:rPr>
  </w:style>
  <w:style w:type="paragraph" w:styleId="Title">
    <w:name w:val="Title"/>
    <w:basedOn w:val="Normal"/>
    <w:next w:val="Normal"/>
    <w:link w:val="TitleChar"/>
    <w:uiPriority w:val="10"/>
    <w:qFormat/>
    <w:rsid w:val="00876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F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F0A"/>
    <w:pPr>
      <w:spacing w:before="160"/>
      <w:jc w:val="center"/>
    </w:pPr>
    <w:rPr>
      <w:i/>
      <w:iCs/>
      <w:color w:val="404040" w:themeColor="text1" w:themeTint="BF"/>
    </w:rPr>
  </w:style>
  <w:style w:type="character" w:customStyle="1" w:styleId="QuoteChar">
    <w:name w:val="Quote Char"/>
    <w:basedOn w:val="DefaultParagraphFont"/>
    <w:link w:val="Quote"/>
    <w:uiPriority w:val="29"/>
    <w:rsid w:val="00876F0A"/>
    <w:rPr>
      <w:i/>
      <w:iCs/>
      <w:color w:val="404040" w:themeColor="text1" w:themeTint="BF"/>
    </w:rPr>
  </w:style>
  <w:style w:type="paragraph" w:styleId="ListParagraph">
    <w:name w:val="List Paragraph"/>
    <w:basedOn w:val="Normal"/>
    <w:uiPriority w:val="34"/>
    <w:qFormat/>
    <w:rsid w:val="00876F0A"/>
    <w:pPr>
      <w:ind w:left="720"/>
      <w:contextualSpacing/>
    </w:pPr>
  </w:style>
  <w:style w:type="character" w:styleId="IntenseEmphasis">
    <w:name w:val="Intense Emphasis"/>
    <w:basedOn w:val="DefaultParagraphFont"/>
    <w:uiPriority w:val="21"/>
    <w:qFormat/>
    <w:rsid w:val="00876F0A"/>
    <w:rPr>
      <w:i/>
      <w:iCs/>
      <w:color w:val="0F4761" w:themeColor="accent1" w:themeShade="BF"/>
    </w:rPr>
  </w:style>
  <w:style w:type="paragraph" w:styleId="IntenseQuote">
    <w:name w:val="Intense Quote"/>
    <w:basedOn w:val="Normal"/>
    <w:next w:val="Normal"/>
    <w:link w:val="IntenseQuoteChar"/>
    <w:uiPriority w:val="30"/>
    <w:qFormat/>
    <w:rsid w:val="00876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F0A"/>
    <w:rPr>
      <w:i/>
      <w:iCs/>
      <w:color w:val="0F4761" w:themeColor="accent1" w:themeShade="BF"/>
    </w:rPr>
  </w:style>
  <w:style w:type="character" w:styleId="IntenseReference">
    <w:name w:val="Intense Reference"/>
    <w:basedOn w:val="DefaultParagraphFont"/>
    <w:uiPriority w:val="32"/>
    <w:qFormat/>
    <w:rsid w:val="00876F0A"/>
    <w:rPr>
      <w:b/>
      <w:bCs/>
      <w:smallCaps/>
      <w:color w:val="0F4761" w:themeColor="accent1" w:themeShade="BF"/>
      <w:spacing w:val="5"/>
    </w:rPr>
  </w:style>
  <w:style w:type="table" w:styleId="TableGrid">
    <w:name w:val="Table Grid"/>
    <w:basedOn w:val="TableNormal"/>
    <w:uiPriority w:val="39"/>
    <w:rsid w:val="00AB2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6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67F"/>
  </w:style>
  <w:style w:type="paragraph" w:styleId="Footer">
    <w:name w:val="footer"/>
    <w:basedOn w:val="Normal"/>
    <w:link w:val="FooterChar"/>
    <w:uiPriority w:val="99"/>
    <w:unhideWhenUsed/>
    <w:rsid w:val="00396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11</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Fathimath Najudha</dc:creator>
  <cp:keywords/>
  <dc:description/>
  <cp:lastModifiedBy>Fathimath Najudha</cp:lastModifiedBy>
  <cp:revision>13</cp:revision>
  <dcterms:created xsi:type="dcterms:W3CDTF">2025-12-03T09:06:00Z</dcterms:created>
  <dcterms:modified xsi:type="dcterms:W3CDTF">2025-12-10T09:18:00Z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d61c17e7-1ffa-4f66-8e0e-09c3c1b23311</vt:lpwstr>
  </property>
</Properties>
</file>